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33108C">
        <w:trPr>
          <w:trHeight w:hRule="exact" w:val="595"/>
        </w:trPr>
        <w:tc>
          <w:tcPr>
            <w:tcW w:w="7370" w:type="dxa"/>
          </w:tcPr>
          <w:p w14:paraId="1C998B3D" w14:textId="5C371E1E" w:rsidR="0033108C" w:rsidRPr="00D43679" w:rsidRDefault="0033108C" w:rsidP="001D028C">
            <w:pPr>
              <w:pStyle w:val="Heading2"/>
              <w:outlineLvl w:val="1"/>
              <w:rPr>
                <w:b/>
                <w:color w:val="FF0000"/>
              </w:rPr>
            </w:pPr>
          </w:p>
        </w:tc>
      </w:tr>
      <w:tr w:rsidR="00D62638" w:rsidRPr="00871B32" w14:paraId="0358193D" w14:textId="77777777" w:rsidTr="0002077D">
        <w:trPr>
          <w:trHeight w:hRule="exact" w:val="1758"/>
        </w:trPr>
        <w:tc>
          <w:tcPr>
            <w:tcW w:w="7370" w:type="dxa"/>
          </w:tcPr>
          <w:p w14:paraId="612D7B36" w14:textId="73DC38DC" w:rsidR="0000471F" w:rsidRPr="00D764A7" w:rsidRDefault="008535BD" w:rsidP="0000471F">
            <w:pPr>
              <w:pStyle w:val="Heading2"/>
              <w:outlineLvl w:val="1"/>
            </w:pPr>
            <w:r>
              <w:t>Condition monitoring in logistics</w:t>
            </w:r>
          </w:p>
          <w:p w14:paraId="682C3773" w14:textId="65D5AC5F" w:rsidR="00D62638" w:rsidRPr="00697E4C" w:rsidRDefault="008535BD" w:rsidP="0000471F">
            <w:pPr>
              <w:pStyle w:val="Heading1"/>
              <w:outlineLvl w:val="0"/>
            </w:pPr>
            <w:r>
              <w:t>Online condition monitoring using SmartCheck prevents unplanned machine downtime at Schaeffler</w:t>
            </w:r>
            <w:r w:rsidR="00420B4E">
              <w:t>‘s</w:t>
            </w:r>
            <w:r>
              <w:t xml:space="preserve"> European Distribution Centre</w:t>
            </w:r>
          </w:p>
        </w:tc>
      </w:tr>
    </w:tbl>
    <w:p w14:paraId="689712A4" w14:textId="3A8B0B1A" w:rsidR="008A4E20" w:rsidRPr="004460C6" w:rsidRDefault="008A4E20" w:rsidP="00C26A6F">
      <w:pPr>
        <w:ind w:left="227" w:hanging="227"/>
      </w:pPr>
      <w:bookmarkStart w:id="0" w:name="_Hlk14262545"/>
    </w:p>
    <w:bookmarkEnd w:id="0"/>
    <w:p w14:paraId="51521E47" w14:textId="10A2672A" w:rsidR="00357CC4" w:rsidRDefault="00357CC4" w:rsidP="00357CC4">
      <w:pPr>
        <w:spacing w:after="240"/>
        <w:rPr>
          <w:rFonts w:ascii="Calibri" w:hAnsi="Calibri"/>
        </w:rPr>
      </w:pPr>
      <w:r>
        <w:t>Birmingham</w:t>
      </w:r>
      <w:r w:rsidR="00E7229B">
        <w:t xml:space="preserve">, </w:t>
      </w:r>
      <w:r w:rsidR="00697E4C">
        <w:t>UK</w:t>
      </w:r>
      <w:r w:rsidR="0002077D" w:rsidRPr="00F51227">
        <w:t xml:space="preserve"> | </w:t>
      </w:r>
      <w:r w:rsidR="00474261">
        <w:t>08</w:t>
      </w:r>
      <w:r w:rsidR="0002077D" w:rsidRPr="00F51227">
        <w:t xml:space="preserve">. </w:t>
      </w:r>
      <w:r w:rsidR="00474261">
        <w:t>July</w:t>
      </w:r>
      <w:r w:rsidR="0002077D" w:rsidRPr="00F51227">
        <w:t xml:space="preserve"> 20</w:t>
      </w:r>
      <w:r w:rsidR="00460BD8">
        <w:t>20</w:t>
      </w:r>
      <w:r w:rsidR="0002077D" w:rsidRPr="00F51227">
        <w:t xml:space="preserve"> </w:t>
      </w:r>
      <w:r w:rsidR="00E51A3F" w:rsidRPr="00F51227">
        <w:t xml:space="preserve">| </w:t>
      </w:r>
      <w:r w:rsidR="00AA16C2">
        <w:t xml:space="preserve">By installing </w:t>
      </w:r>
      <w:r w:rsidR="00420B4E">
        <w:t>SmartCheck condition monitoring devices on 58 critical drives</w:t>
      </w:r>
      <w:r w:rsidR="00AA16C2">
        <w:t xml:space="preserve">, </w:t>
      </w:r>
      <w:r w:rsidR="00420B4E">
        <w:t xml:space="preserve">Schaeffler’s European Distribution Centre </w:t>
      </w:r>
      <w:bookmarkStart w:id="1" w:name="_Hlk20909308"/>
      <w:r w:rsidR="00AA16C2">
        <w:rPr>
          <w:rFonts w:ascii="Calibri" w:hAnsi="Calibri"/>
        </w:rPr>
        <w:t xml:space="preserve">has seen a range of benefits, including </w:t>
      </w:r>
      <w:r w:rsidR="00420B4E">
        <w:rPr>
          <w:rFonts w:ascii="Calibri" w:hAnsi="Calibri"/>
        </w:rPr>
        <w:t xml:space="preserve">the </w:t>
      </w:r>
      <w:r w:rsidR="00AA16C2">
        <w:rPr>
          <w:rFonts w:ascii="Calibri" w:hAnsi="Calibri"/>
        </w:rPr>
        <w:t xml:space="preserve">prevention of unplanned downtime, </w:t>
      </w:r>
      <w:r w:rsidR="00420B4E">
        <w:rPr>
          <w:rFonts w:ascii="Calibri" w:hAnsi="Calibri"/>
        </w:rPr>
        <w:t>reduced maintenance costs and increased machine availability</w:t>
      </w:r>
      <w:r w:rsidR="00AA16C2">
        <w:rPr>
          <w:rFonts w:ascii="Calibri" w:hAnsi="Calibri"/>
        </w:rPr>
        <w:t xml:space="preserve">. </w:t>
      </w:r>
    </w:p>
    <w:bookmarkEnd w:id="1"/>
    <w:p w14:paraId="189A740F" w14:textId="3773BFC4" w:rsidR="0000471F" w:rsidRDefault="00A121FA" w:rsidP="0000471F">
      <w:pPr>
        <w:autoSpaceDE w:val="0"/>
        <w:autoSpaceDN w:val="0"/>
        <w:adjustRightInd w:val="0"/>
        <w:spacing w:before="120"/>
        <w:jc w:val="both"/>
        <w:rPr>
          <w:rFonts w:ascii="Calibri" w:hAnsi="Calibri"/>
        </w:rPr>
      </w:pPr>
      <w:r>
        <w:rPr>
          <w:rFonts w:ascii="Calibri" w:hAnsi="Calibri"/>
        </w:rPr>
        <w:t>Schaeffler’s European Distribution Centre (EDC Central) in Kitzingen, Germany, is one of Europe’s most modern logistics centres with several thousand shipping units rolling off the lines every day</w:t>
      </w:r>
      <w:r w:rsidR="00357CC4">
        <w:rPr>
          <w:rFonts w:ascii="Calibri" w:hAnsi="Calibri"/>
        </w:rPr>
        <w:t>.</w:t>
      </w:r>
      <w:r>
        <w:rPr>
          <w:rFonts w:ascii="Calibri" w:hAnsi="Calibri"/>
        </w:rPr>
        <w:t xml:space="preserve"> Standard products can be delivered to customers within 24 to 48 hours after receipt of order.</w:t>
      </w:r>
    </w:p>
    <w:p w14:paraId="6E90A46E" w14:textId="2B44031D" w:rsidR="00AE3795" w:rsidRDefault="00AE3795" w:rsidP="0000471F">
      <w:pPr>
        <w:autoSpaceDE w:val="0"/>
        <w:autoSpaceDN w:val="0"/>
        <w:adjustRightInd w:val="0"/>
        <w:spacing w:before="120"/>
        <w:jc w:val="both"/>
        <w:rPr>
          <w:rFonts w:ascii="Calibri" w:hAnsi="Calibri"/>
        </w:rPr>
      </w:pPr>
      <w:r>
        <w:rPr>
          <w:rFonts w:ascii="Calibri" w:hAnsi="Calibri"/>
        </w:rPr>
        <w:t xml:space="preserve">Opened in June 2018, EDC Central covers a total area of 148,000 square metres and employs around 200 people. The site has two storage racks with a height of 38.5 metres, which provides space for 28,000 Euro pallets and 95,000 containers. Equipped with an in-floor, 2km long conveyor system and state-of-the-art conveying technology, the centre also provides 20 ramps for </w:t>
      </w:r>
      <w:r w:rsidR="001F3660">
        <w:rPr>
          <w:rFonts w:ascii="Calibri" w:hAnsi="Calibri"/>
        </w:rPr>
        <w:t xml:space="preserve">up to </w:t>
      </w:r>
      <w:r>
        <w:rPr>
          <w:rFonts w:ascii="Calibri" w:hAnsi="Calibri"/>
        </w:rPr>
        <w:t>85 trucks</w:t>
      </w:r>
      <w:r w:rsidR="001F3660">
        <w:rPr>
          <w:rFonts w:ascii="Calibri" w:hAnsi="Calibri"/>
        </w:rPr>
        <w:t xml:space="preserve"> per day</w:t>
      </w:r>
      <w:r>
        <w:rPr>
          <w:rFonts w:ascii="Calibri" w:hAnsi="Calibri"/>
        </w:rPr>
        <w:t>.</w:t>
      </w:r>
    </w:p>
    <w:p w14:paraId="5221EACD" w14:textId="55B7CA33" w:rsidR="00357CC4" w:rsidRPr="002A1879" w:rsidRDefault="002A1879" w:rsidP="0000471F">
      <w:pPr>
        <w:autoSpaceDE w:val="0"/>
        <w:autoSpaceDN w:val="0"/>
        <w:adjustRightInd w:val="0"/>
        <w:spacing w:before="120"/>
        <w:jc w:val="both"/>
        <w:rPr>
          <w:rFonts w:ascii="Calibri" w:hAnsi="Calibri"/>
          <w:b/>
          <w:bCs/>
        </w:rPr>
      </w:pPr>
      <w:r w:rsidRPr="002A1879">
        <w:rPr>
          <w:rFonts w:ascii="Calibri" w:hAnsi="Calibri"/>
          <w:b/>
          <w:bCs/>
        </w:rPr>
        <w:t>Challenge for Schaeffler</w:t>
      </w:r>
    </w:p>
    <w:p w14:paraId="06D4F367" w14:textId="3BC0F627" w:rsidR="002A1879" w:rsidRDefault="001F3660" w:rsidP="0000471F">
      <w:pPr>
        <w:autoSpaceDE w:val="0"/>
        <w:autoSpaceDN w:val="0"/>
        <w:adjustRightInd w:val="0"/>
        <w:spacing w:before="120"/>
        <w:jc w:val="both"/>
        <w:rPr>
          <w:rFonts w:ascii="Calibri" w:hAnsi="Calibri"/>
        </w:rPr>
      </w:pPr>
      <w:r>
        <w:rPr>
          <w:rFonts w:ascii="Calibri" w:hAnsi="Calibri"/>
        </w:rPr>
        <w:t>Inside the EDC Central are</w:t>
      </w:r>
      <w:r w:rsidR="00A121FA">
        <w:rPr>
          <w:rFonts w:ascii="Calibri" w:hAnsi="Calibri"/>
        </w:rPr>
        <w:t xml:space="preserve"> seven automated storage and retrieval systems</w:t>
      </w:r>
      <w:r>
        <w:rPr>
          <w:rFonts w:ascii="Calibri" w:hAnsi="Calibri"/>
        </w:rPr>
        <w:t>, which</w:t>
      </w:r>
      <w:r w:rsidR="00A121FA">
        <w:rPr>
          <w:rFonts w:ascii="Calibri" w:hAnsi="Calibri"/>
        </w:rPr>
        <w:t xml:space="preserve"> continuously handle loads in various directions from storage racks with a height of around 38.5 metres</w:t>
      </w:r>
      <w:r w:rsidR="00DF7910">
        <w:rPr>
          <w:rFonts w:ascii="Calibri" w:hAnsi="Calibri"/>
        </w:rPr>
        <w:t>.</w:t>
      </w:r>
      <w:r w:rsidR="00A121FA">
        <w:rPr>
          <w:rFonts w:ascii="Calibri" w:hAnsi="Calibri"/>
        </w:rPr>
        <w:t xml:space="preserve"> The bearings in the drives of these storage and retrieval systems are subjected to severe loads during operation. Any unplanned downtime of the storage and retrieval systems due to bearing damage can affect the entire supply chain. In the worst case scenario, this may result in delayed deliveries of customer orders. The logistics centre was therefore looking for a Predictive Maintenance solution.</w:t>
      </w:r>
    </w:p>
    <w:p w14:paraId="1F31DB66" w14:textId="36B9CA3D" w:rsidR="00DF7910" w:rsidRDefault="00DF7910" w:rsidP="0000471F">
      <w:pPr>
        <w:autoSpaceDE w:val="0"/>
        <w:autoSpaceDN w:val="0"/>
        <w:adjustRightInd w:val="0"/>
        <w:spacing w:before="120"/>
        <w:jc w:val="both"/>
        <w:rPr>
          <w:rFonts w:ascii="Calibri" w:hAnsi="Calibri"/>
          <w:b/>
          <w:bCs/>
        </w:rPr>
      </w:pPr>
      <w:r w:rsidRPr="00DF7910">
        <w:rPr>
          <w:rFonts w:ascii="Calibri" w:hAnsi="Calibri"/>
          <w:b/>
          <w:bCs/>
        </w:rPr>
        <w:t>Schaeffler Solution</w:t>
      </w:r>
    </w:p>
    <w:p w14:paraId="13830C00" w14:textId="20344B5F" w:rsidR="00AE3795" w:rsidRDefault="00AE3795" w:rsidP="0000471F">
      <w:pPr>
        <w:autoSpaceDE w:val="0"/>
        <w:autoSpaceDN w:val="0"/>
        <w:adjustRightInd w:val="0"/>
        <w:spacing w:before="120"/>
        <w:jc w:val="both"/>
        <w:rPr>
          <w:rFonts w:ascii="Calibri" w:hAnsi="Calibri"/>
        </w:rPr>
      </w:pPr>
      <w:r>
        <w:rPr>
          <w:rFonts w:ascii="Calibri" w:hAnsi="Calibri"/>
        </w:rPr>
        <w:t>The EDC Central relies on intelligent maintenance solutions developed in-house for monitoring the automated storage and retrieval systems. Of the approximately 3,000 drives at Kitzingen, 58 of the most critical are monitored using the Schaeffler SmartCheck condition monitoring solution</w:t>
      </w:r>
      <w:r w:rsidR="00DF7910">
        <w:rPr>
          <w:rFonts w:ascii="Calibri" w:hAnsi="Calibri"/>
        </w:rPr>
        <w:t>.</w:t>
      </w:r>
    </w:p>
    <w:p w14:paraId="45FE5EDD" w14:textId="5C0C3D33" w:rsidR="00097096" w:rsidRDefault="00097096" w:rsidP="0000471F">
      <w:pPr>
        <w:autoSpaceDE w:val="0"/>
        <w:autoSpaceDN w:val="0"/>
        <w:adjustRightInd w:val="0"/>
        <w:spacing w:before="120"/>
        <w:jc w:val="both"/>
        <w:rPr>
          <w:rFonts w:ascii="Calibri" w:hAnsi="Calibri"/>
        </w:rPr>
      </w:pPr>
      <w:r>
        <w:rPr>
          <w:rFonts w:ascii="Calibri" w:hAnsi="Calibri"/>
        </w:rPr>
        <w:t>51 of the SmartChecks are installed on spiral conveyors and lifting stations, where they monitor vibration, temperature and speed of the bearings. The SmartChecks are connected to the Schaeffler network, allowing local visualisation in the control room at Kitzingen.</w:t>
      </w:r>
    </w:p>
    <w:p w14:paraId="109049F9" w14:textId="5DC5412D" w:rsidR="00DF7910" w:rsidRDefault="00097096" w:rsidP="0000471F">
      <w:pPr>
        <w:autoSpaceDE w:val="0"/>
        <w:autoSpaceDN w:val="0"/>
        <w:adjustRightInd w:val="0"/>
        <w:spacing w:before="120"/>
        <w:jc w:val="both"/>
        <w:rPr>
          <w:rFonts w:ascii="Calibri" w:hAnsi="Calibri"/>
        </w:rPr>
      </w:pPr>
      <w:r>
        <w:rPr>
          <w:rFonts w:ascii="Calibri" w:hAnsi="Calibri"/>
        </w:rPr>
        <w:lastRenderedPageBreak/>
        <w:t xml:space="preserve">Seven </w:t>
      </w:r>
      <w:r w:rsidR="00AE3795">
        <w:rPr>
          <w:rFonts w:ascii="Calibri" w:hAnsi="Calibri"/>
        </w:rPr>
        <w:t>SmartChecks are installed on the drives of the storage and retrieval systems. After an operating period of around 18 months, one of the SmartChecks detected an irregular upward trend. The subsequent visual inspection carried out by local maintenance staff confirmed that grease had escaped from the track roller bearing. Due to the early detection of this irregularity, the site was able to schedule and perform the bearing replacement in good time and therefore prevent any unplanned downtime.</w:t>
      </w:r>
    </w:p>
    <w:p w14:paraId="491B15B4" w14:textId="7602D41A" w:rsidR="00DF7910" w:rsidRDefault="00DF7910" w:rsidP="0000471F">
      <w:pPr>
        <w:autoSpaceDE w:val="0"/>
        <w:autoSpaceDN w:val="0"/>
        <w:adjustRightInd w:val="0"/>
        <w:spacing w:before="120"/>
        <w:jc w:val="both"/>
        <w:rPr>
          <w:rFonts w:ascii="Calibri" w:hAnsi="Calibri"/>
          <w:b/>
          <w:bCs/>
        </w:rPr>
      </w:pPr>
      <w:r w:rsidRPr="00DF7910">
        <w:rPr>
          <w:rFonts w:ascii="Calibri" w:hAnsi="Calibri"/>
          <w:b/>
          <w:bCs/>
        </w:rPr>
        <w:t>Customer Benefits</w:t>
      </w:r>
    </w:p>
    <w:p w14:paraId="66E83A61" w14:textId="271E3512" w:rsidR="004D20C4" w:rsidRDefault="00DF7910" w:rsidP="0000471F">
      <w:pPr>
        <w:autoSpaceDE w:val="0"/>
        <w:autoSpaceDN w:val="0"/>
        <w:adjustRightInd w:val="0"/>
        <w:spacing w:before="120"/>
        <w:jc w:val="both"/>
        <w:rPr>
          <w:rFonts w:ascii="Calibri" w:hAnsi="Calibri"/>
        </w:rPr>
      </w:pPr>
      <w:r>
        <w:rPr>
          <w:rFonts w:ascii="Calibri" w:hAnsi="Calibri"/>
        </w:rPr>
        <w:t xml:space="preserve">The </w:t>
      </w:r>
      <w:r w:rsidR="00097096">
        <w:rPr>
          <w:rFonts w:ascii="Calibri" w:hAnsi="Calibri"/>
        </w:rPr>
        <w:t>online monitoring solution is an important tool for Kitzingen in eliminating unplanned downtime and malfunctions during operation</w:t>
      </w:r>
      <w:r w:rsidR="004D20C4">
        <w:rPr>
          <w:rFonts w:ascii="Calibri" w:hAnsi="Calibri"/>
        </w:rPr>
        <w:t>.</w:t>
      </w:r>
      <w:r w:rsidR="00097096">
        <w:rPr>
          <w:rFonts w:ascii="Calibri" w:hAnsi="Calibri"/>
        </w:rPr>
        <w:t xml:space="preserve"> Other advantages include:</w:t>
      </w:r>
    </w:p>
    <w:p w14:paraId="4CE6C8E2" w14:textId="6D9EE008" w:rsidR="00097096" w:rsidRDefault="00097096" w:rsidP="00097096">
      <w:pPr>
        <w:pStyle w:val="ListParagraph"/>
        <w:numPr>
          <w:ilvl w:val="0"/>
          <w:numId w:val="14"/>
        </w:numPr>
        <w:autoSpaceDE w:val="0"/>
        <w:autoSpaceDN w:val="0"/>
        <w:adjustRightInd w:val="0"/>
        <w:spacing w:before="120"/>
        <w:jc w:val="both"/>
        <w:rPr>
          <w:rFonts w:ascii="Calibri" w:hAnsi="Calibri"/>
          <w:sz w:val="22"/>
        </w:rPr>
      </w:pPr>
      <w:r w:rsidRPr="00097096">
        <w:rPr>
          <w:rFonts w:ascii="Calibri" w:hAnsi="Calibri"/>
          <w:sz w:val="22"/>
        </w:rPr>
        <w:t>Prevention of costs resulting from production downtime.</w:t>
      </w:r>
    </w:p>
    <w:p w14:paraId="0305955C" w14:textId="150A9C52" w:rsidR="00097096" w:rsidRDefault="00097096" w:rsidP="00097096">
      <w:pPr>
        <w:pStyle w:val="ListParagraph"/>
        <w:numPr>
          <w:ilvl w:val="0"/>
          <w:numId w:val="14"/>
        </w:numPr>
        <w:autoSpaceDE w:val="0"/>
        <w:autoSpaceDN w:val="0"/>
        <w:adjustRightInd w:val="0"/>
        <w:spacing w:before="120"/>
        <w:jc w:val="both"/>
        <w:rPr>
          <w:rFonts w:ascii="Calibri" w:hAnsi="Calibri"/>
          <w:sz w:val="22"/>
        </w:rPr>
      </w:pPr>
      <w:r>
        <w:rPr>
          <w:rFonts w:ascii="Calibri" w:hAnsi="Calibri"/>
          <w:sz w:val="22"/>
        </w:rPr>
        <w:t>Prevention of subsequent damage to the drive.</w:t>
      </w:r>
    </w:p>
    <w:p w14:paraId="531BBA6C" w14:textId="741DA13E" w:rsidR="00097096" w:rsidRDefault="00097096" w:rsidP="00097096">
      <w:pPr>
        <w:pStyle w:val="ListParagraph"/>
        <w:numPr>
          <w:ilvl w:val="0"/>
          <w:numId w:val="14"/>
        </w:numPr>
        <w:autoSpaceDE w:val="0"/>
        <w:autoSpaceDN w:val="0"/>
        <w:adjustRightInd w:val="0"/>
        <w:spacing w:before="120"/>
        <w:jc w:val="both"/>
        <w:rPr>
          <w:rFonts w:ascii="Calibri" w:hAnsi="Calibri"/>
          <w:sz w:val="22"/>
        </w:rPr>
      </w:pPr>
      <w:r>
        <w:rPr>
          <w:rFonts w:ascii="Calibri" w:hAnsi="Calibri"/>
          <w:sz w:val="22"/>
        </w:rPr>
        <w:t>Low purchasing costs for the monitoring system.</w:t>
      </w:r>
    </w:p>
    <w:p w14:paraId="2FBFB778" w14:textId="650DC0FA" w:rsidR="00097096" w:rsidRDefault="00097096" w:rsidP="00097096">
      <w:pPr>
        <w:pStyle w:val="ListParagraph"/>
        <w:numPr>
          <w:ilvl w:val="0"/>
          <w:numId w:val="14"/>
        </w:numPr>
        <w:autoSpaceDE w:val="0"/>
        <w:autoSpaceDN w:val="0"/>
        <w:adjustRightInd w:val="0"/>
        <w:spacing w:before="120"/>
        <w:jc w:val="both"/>
        <w:rPr>
          <w:rFonts w:ascii="Calibri" w:hAnsi="Calibri"/>
          <w:sz w:val="22"/>
        </w:rPr>
      </w:pPr>
      <w:r>
        <w:rPr>
          <w:rFonts w:ascii="Calibri" w:hAnsi="Calibri"/>
          <w:sz w:val="22"/>
        </w:rPr>
        <w:t>Reduced maintenance costs.</w:t>
      </w:r>
    </w:p>
    <w:p w14:paraId="5BB12197" w14:textId="5FD10705" w:rsidR="00097096" w:rsidRDefault="00097096" w:rsidP="00097096">
      <w:pPr>
        <w:pStyle w:val="ListParagraph"/>
        <w:numPr>
          <w:ilvl w:val="0"/>
          <w:numId w:val="14"/>
        </w:numPr>
        <w:autoSpaceDE w:val="0"/>
        <w:autoSpaceDN w:val="0"/>
        <w:adjustRightInd w:val="0"/>
        <w:spacing w:before="120"/>
        <w:jc w:val="both"/>
        <w:rPr>
          <w:rFonts w:ascii="Calibri" w:hAnsi="Calibri"/>
          <w:sz w:val="22"/>
        </w:rPr>
      </w:pPr>
      <w:r>
        <w:rPr>
          <w:rFonts w:ascii="Calibri" w:hAnsi="Calibri"/>
          <w:sz w:val="22"/>
        </w:rPr>
        <w:t>Increased machine availability.</w:t>
      </w:r>
    </w:p>
    <w:p w14:paraId="710739AC" w14:textId="41E4A8EF" w:rsidR="00097096" w:rsidRDefault="00097096" w:rsidP="00097096">
      <w:pPr>
        <w:pStyle w:val="ListParagraph"/>
        <w:numPr>
          <w:ilvl w:val="0"/>
          <w:numId w:val="14"/>
        </w:numPr>
        <w:autoSpaceDE w:val="0"/>
        <w:autoSpaceDN w:val="0"/>
        <w:adjustRightInd w:val="0"/>
        <w:spacing w:before="120"/>
        <w:jc w:val="both"/>
        <w:rPr>
          <w:rFonts w:ascii="Calibri" w:hAnsi="Calibri"/>
          <w:sz w:val="22"/>
        </w:rPr>
      </w:pPr>
      <w:r>
        <w:rPr>
          <w:rFonts w:ascii="Calibri" w:hAnsi="Calibri"/>
          <w:sz w:val="22"/>
        </w:rPr>
        <w:t>Enhanced reliability through a self-reporting system.</w:t>
      </w:r>
    </w:p>
    <w:p w14:paraId="649282F4" w14:textId="6AABC471" w:rsidR="00097096" w:rsidRDefault="00097096" w:rsidP="00097096">
      <w:pPr>
        <w:autoSpaceDE w:val="0"/>
        <w:autoSpaceDN w:val="0"/>
        <w:adjustRightInd w:val="0"/>
        <w:spacing w:before="120"/>
        <w:jc w:val="both"/>
        <w:rPr>
          <w:rFonts w:ascii="Calibri" w:hAnsi="Calibri"/>
        </w:rPr>
      </w:pPr>
      <w:r>
        <w:rPr>
          <w:rFonts w:ascii="Calibri" w:hAnsi="Calibri"/>
        </w:rPr>
        <w:t xml:space="preserve">Oliver Massa, Intralogistics Portfolio Manager at Schaeffler summarises the benefits of the monitoring solution: </w:t>
      </w:r>
      <w:r w:rsidR="00C26A6F">
        <w:rPr>
          <w:rFonts w:ascii="Calibri" w:hAnsi="Calibri" w:cs="Calibri"/>
        </w:rPr>
        <w:t>"</w:t>
      </w:r>
      <w:r>
        <w:rPr>
          <w:rFonts w:ascii="Calibri" w:hAnsi="Calibri"/>
        </w:rPr>
        <w:t>Bearing damage was detected at an early stage thanks to the SmartCheck. The team was able to carry out the four-hour maintenance work outside of our regular operating hours. Production was therefore safeguarded and subsequent damage to the drive was prevented. With predictive maintenance, we can save costs of up to 70,000 euros every year.</w:t>
      </w:r>
      <w:r w:rsidR="00C26A6F">
        <w:rPr>
          <w:rFonts w:ascii="Calibri" w:hAnsi="Calibri" w:cs="Calibri"/>
        </w:rPr>
        <w:t>"</w:t>
      </w:r>
    </w:p>
    <w:p w14:paraId="5A9C09DA" w14:textId="2943B651" w:rsidR="00C26A6F" w:rsidRDefault="00C26A6F" w:rsidP="00097096">
      <w:pPr>
        <w:autoSpaceDE w:val="0"/>
        <w:autoSpaceDN w:val="0"/>
        <w:adjustRightInd w:val="0"/>
        <w:spacing w:before="120"/>
        <w:jc w:val="both"/>
        <w:rPr>
          <w:rFonts w:ascii="Calibri" w:hAnsi="Calibri"/>
        </w:rPr>
      </w:pPr>
      <w:r>
        <w:rPr>
          <w:rFonts w:ascii="Calibri" w:hAnsi="Calibri"/>
        </w:rPr>
        <w:t>This holistic solution can also be applied and extended to other machines and equipment in almost every plant. In order to ensure optimum lubrication of the chain and roller conveyors, the EDC Central also uses the centrally controlled CONCEPT8 automatic lubrication system from Schaeffler with specially developed lubricating pinions for continuous and precise relubrication during operation.</w:t>
      </w:r>
    </w:p>
    <w:p w14:paraId="3EBA871C" w14:textId="289B9175" w:rsidR="0000471F" w:rsidRDefault="0000471F" w:rsidP="0000471F">
      <w:pPr>
        <w:autoSpaceDE w:val="0"/>
        <w:autoSpaceDN w:val="0"/>
        <w:adjustRightInd w:val="0"/>
        <w:spacing w:before="120"/>
        <w:jc w:val="both"/>
        <w:rPr>
          <w:rFonts w:ascii="Calibri" w:hAnsi="Calibri" w:cs="Calibri"/>
          <w:b/>
        </w:rPr>
      </w:pPr>
      <w:r>
        <w:rPr>
          <w:rFonts w:ascii="Calibri" w:hAnsi="Calibri" w:cs="Calibri"/>
        </w:rPr>
        <w:t xml:space="preserve">For more information, please contact Schaeffler UK’s Communications &amp; Branding Department on </w:t>
      </w:r>
      <w:hyperlink r:id="rId8" w:history="1">
        <w:r>
          <w:rPr>
            <w:rStyle w:val="Hyperlink"/>
            <w:rFonts w:ascii="Calibri" w:hAnsi="Calibri"/>
            <w:u w:val="single"/>
          </w:rPr>
          <w:t>info.uk@schaeffler.com</w:t>
        </w:r>
      </w:hyperlink>
    </w:p>
    <w:p w14:paraId="786332A5" w14:textId="77777777" w:rsidR="0000471F" w:rsidRPr="00383D0B" w:rsidRDefault="0000471F" w:rsidP="0000471F">
      <w:pPr>
        <w:autoSpaceDE w:val="0"/>
        <w:autoSpaceDN w:val="0"/>
        <w:adjustRightInd w:val="0"/>
        <w:spacing w:before="120"/>
        <w:jc w:val="both"/>
        <w:rPr>
          <w:rFonts w:ascii="Calibri" w:hAnsi="Calibri" w:cs="Calibri"/>
          <w:b/>
        </w:rPr>
      </w:pPr>
    </w:p>
    <w:p w14:paraId="109AE3EC" w14:textId="324C2C97" w:rsidR="0000471F" w:rsidRDefault="006A488F" w:rsidP="0000471F">
      <w:r>
        <w:rPr>
          <w:noProof/>
        </w:rPr>
        <w:lastRenderedPageBreak/>
        <w:drawing>
          <wp:anchor distT="0" distB="0" distL="0" distR="0" simplePos="0" relativeHeight="251661312" behindDoc="1" locked="0" layoutInCell="1" allowOverlap="1" wp14:anchorId="37DB4FAB" wp14:editId="29331CB8">
            <wp:simplePos x="0" y="0"/>
            <wp:positionH relativeFrom="margin">
              <wp:align>left</wp:align>
            </wp:positionH>
            <wp:positionV relativeFrom="paragraph">
              <wp:posOffset>107315</wp:posOffset>
            </wp:positionV>
            <wp:extent cx="2644140" cy="1905000"/>
            <wp:effectExtent l="0" t="0" r="3810" b="0"/>
            <wp:wrapSquare wrapText="bothSides"/>
            <wp:docPr id="67" name="Picture 67"/>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pic:blipFill>
                  <pic:spPr>
                    <a:xfrm>
                      <a:off x="0" y="0"/>
                      <a:ext cx="2644140" cy="1905000"/>
                    </a:xfrm>
                    <a:prstGeom prst="rect">
                      <a:avLst/>
                    </a:prstGeom>
                    <a:ln>
                      <a:noFill/>
                    </a:ln>
                  </pic:spPr>
                </pic:pic>
              </a:graphicData>
            </a:graphic>
            <wp14:sizeRelH relativeFrom="margin">
              <wp14:pctWidth>0</wp14:pctWidth>
            </wp14:sizeRelH>
            <wp14:sizeRelV relativeFrom="margin">
              <wp14:pctHeight>0</wp14:pctHeight>
            </wp14:sizeRelV>
          </wp:anchor>
        </w:drawing>
      </w:r>
    </w:p>
    <w:p w14:paraId="3E1888E7" w14:textId="5B1E3E62" w:rsidR="006A488F" w:rsidRDefault="006A488F" w:rsidP="0000471F"/>
    <w:p w14:paraId="5A1EE3D8" w14:textId="6E17BBE5" w:rsidR="006A488F" w:rsidRDefault="006A488F" w:rsidP="0000471F"/>
    <w:p w14:paraId="1F9025A6" w14:textId="780102AE" w:rsidR="006A488F" w:rsidRDefault="006A488F" w:rsidP="0000471F"/>
    <w:p w14:paraId="59D0C1F3" w14:textId="38AD611E" w:rsidR="006A488F" w:rsidRDefault="006A488F" w:rsidP="0000471F"/>
    <w:p w14:paraId="6E738D91" w14:textId="620AF36D" w:rsidR="006A488F" w:rsidRDefault="006A488F" w:rsidP="0000471F"/>
    <w:p w14:paraId="1C2C0120" w14:textId="77777777" w:rsidR="00474261" w:rsidRDefault="00474261" w:rsidP="00474261">
      <w:pPr>
        <w:spacing w:after="100" w:afterAutospacing="1" w:line="240" w:lineRule="auto"/>
        <w:rPr>
          <w:rFonts w:ascii="Calibri" w:hAnsi="Calibri"/>
          <w:i/>
          <w:sz w:val="20"/>
          <w:szCs w:val="20"/>
        </w:rPr>
      </w:pPr>
    </w:p>
    <w:p w14:paraId="21269181" w14:textId="1F0BA0FE" w:rsidR="0000471F" w:rsidRPr="00383D0B" w:rsidRDefault="006A488F" w:rsidP="00474261">
      <w:pPr>
        <w:spacing w:after="100" w:afterAutospacing="1" w:line="240" w:lineRule="auto"/>
        <w:rPr>
          <w:rFonts w:ascii="Calibri" w:hAnsi="Calibri" w:cs="Calibri"/>
          <w:i/>
          <w:color w:val="000000"/>
          <w:sz w:val="20"/>
          <w:szCs w:val="20"/>
        </w:rPr>
      </w:pPr>
      <w:r>
        <w:rPr>
          <w:rFonts w:ascii="Calibri" w:hAnsi="Calibri"/>
          <w:i/>
          <w:sz w:val="20"/>
          <w:szCs w:val="20"/>
        </w:rPr>
        <w:t>Schaeffler’s European Distribution Centre in Kitzingen, Germany</w:t>
      </w:r>
      <w:r w:rsidR="0000471F">
        <w:rPr>
          <w:rFonts w:ascii="Calibri" w:hAnsi="Calibri"/>
          <w:i/>
          <w:sz w:val="20"/>
          <w:szCs w:val="20"/>
        </w:rPr>
        <w:t>.</w:t>
      </w:r>
    </w:p>
    <w:p w14:paraId="5FA8C140" w14:textId="50959711" w:rsidR="0000471F" w:rsidRPr="00E20AF8" w:rsidRDefault="006A488F" w:rsidP="0000471F">
      <w:r>
        <w:rPr>
          <w:noProof/>
        </w:rPr>
        <w:drawing>
          <wp:anchor distT="0" distB="0" distL="0" distR="0" simplePos="0" relativeHeight="251663360" behindDoc="1" locked="0" layoutInCell="1" allowOverlap="1" wp14:anchorId="2C3AE7C7" wp14:editId="6EF909A8">
            <wp:simplePos x="0" y="0"/>
            <wp:positionH relativeFrom="margin">
              <wp:align>left</wp:align>
            </wp:positionH>
            <wp:positionV relativeFrom="paragraph">
              <wp:posOffset>3175</wp:posOffset>
            </wp:positionV>
            <wp:extent cx="2606040" cy="2034540"/>
            <wp:effectExtent l="0" t="0" r="3810" b="3810"/>
            <wp:wrapSquare wrapText="bothSides"/>
            <wp:docPr id="127" name="Picture 127"/>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stretch/>
                  </pic:blipFill>
                  <pic:spPr>
                    <a:xfrm>
                      <a:off x="0" y="0"/>
                      <a:ext cx="2606040" cy="2034540"/>
                    </a:xfrm>
                    <a:prstGeom prst="rect">
                      <a:avLst/>
                    </a:prstGeom>
                    <a:ln>
                      <a:noFill/>
                    </a:ln>
                  </pic:spPr>
                </pic:pic>
              </a:graphicData>
            </a:graphic>
            <wp14:sizeRelH relativeFrom="margin">
              <wp14:pctWidth>0</wp14:pctWidth>
            </wp14:sizeRelH>
            <wp14:sizeRelV relativeFrom="margin">
              <wp14:pctHeight>0</wp14:pctHeight>
            </wp14:sizeRelV>
          </wp:anchor>
        </w:drawing>
      </w:r>
    </w:p>
    <w:p w14:paraId="680AA7B6" w14:textId="07471028" w:rsidR="0000471F" w:rsidRPr="00383D0B" w:rsidRDefault="0000471F" w:rsidP="0000471F">
      <w:pPr>
        <w:spacing w:after="240"/>
        <w:rPr>
          <w:rFonts w:ascii="Calibri" w:hAnsi="Calibri"/>
          <w:i/>
          <w:sz w:val="20"/>
          <w:szCs w:val="20"/>
        </w:rPr>
      </w:pPr>
    </w:p>
    <w:p w14:paraId="2160288B" w14:textId="543356CB" w:rsidR="0000471F" w:rsidRDefault="0000471F" w:rsidP="0000471F">
      <w:pPr>
        <w:spacing w:line="240" w:lineRule="auto"/>
        <w:rPr>
          <w:noProof/>
        </w:rPr>
      </w:pPr>
    </w:p>
    <w:p w14:paraId="539A27C7" w14:textId="77777777" w:rsidR="006A488F" w:rsidRDefault="006A488F" w:rsidP="0000471F">
      <w:pPr>
        <w:spacing w:before="120"/>
        <w:rPr>
          <w:rFonts w:ascii="Calibri" w:hAnsi="Calibri"/>
          <w:i/>
          <w:sz w:val="20"/>
          <w:szCs w:val="20"/>
        </w:rPr>
      </w:pPr>
    </w:p>
    <w:p w14:paraId="5E383F21" w14:textId="77777777" w:rsidR="006A488F" w:rsidRDefault="006A488F" w:rsidP="0000471F">
      <w:pPr>
        <w:spacing w:before="120"/>
        <w:rPr>
          <w:rFonts w:ascii="Calibri" w:hAnsi="Calibri"/>
          <w:i/>
          <w:sz w:val="20"/>
          <w:szCs w:val="20"/>
        </w:rPr>
      </w:pPr>
    </w:p>
    <w:p w14:paraId="1965CAAD" w14:textId="77777777" w:rsidR="006A488F" w:rsidRDefault="006A488F" w:rsidP="0000471F">
      <w:pPr>
        <w:spacing w:before="120"/>
        <w:rPr>
          <w:rFonts w:ascii="Calibri" w:hAnsi="Calibri"/>
          <w:i/>
          <w:sz w:val="20"/>
          <w:szCs w:val="20"/>
        </w:rPr>
      </w:pPr>
    </w:p>
    <w:p w14:paraId="0E097241" w14:textId="77777777" w:rsidR="006A488F" w:rsidRDefault="006A488F" w:rsidP="0000471F">
      <w:pPr>
        <w:spacing w:before="120"/>
        <w:rPr>
          <w:rFonts w:ascii="Calibri" w:hAnsi="Calibri"/>
          <w:i/>
          <w:sz w:val="20"/>
          <w:szCs w:val="20"/>
        </w:rPr>
      </w:pPr>
    </w:p>
    <w:p w14:paraId="525FCC8D" w14:textId="77777777" w:rsidR="00C26A6F" w:rsidRDefault="00C26A6F" w:rsidP="0000471F">
      <w:pPr>
        <w:spacing w:before="120"/>
        <w:rPr>
          <w:rFonts w:ascii="Calibri" w:hAnsi="Calibri"/>
          <w:i/>
          <w:sz w:val="20"/>
          <w:szCs w:val="20"/>
        </w:rPr>
      </w:pPr>
    </w:p>
    <w:p w14:paraId="41FE1AB9" w14:textId="4037272C" w:rsidR="006A488F" w:rsidRDefault="006A488F" w:rsidP="0000471F">
      <w:pPr>
        <w:spacing w:before="120"/>
        <w:rPr>
          <w:rFonts w:ascii="Calibri" w:hAnsi="Calibri"/>
          <w:i/>
          <w:sz w:val="20"/>
          <w:szCs w:val="20"/>
        </w:rPr>
      </w:pPr>
      <w:r>
        <w:rPr>
          <w:rFonts w:ascii="Calibri" w:hAnsi="Calibri"/>
          <w:i/>
          <w:sz w:val="20"/>
          <w:szCs w:val="20"/>
        </w:rPr>
        <w:t>One of the seven automated storage and retrieval systems that are monitored using Schaeffler SmartChecks.</w:t>
      </w:r>
    </w:p>
    <w:p w14:paraId="1EE696AE" w14:textId="78F8246F" w:rsidR="00C26A6F" w:rsidRDefault="00C26A6F" w:rsidP="0000471F">
      <w:pPr>
        <w:spacing w:before="120"/>
        <w:rPr>
          <w:rFonts w:ascii="Calibri" w:hAnsi="Calibri"/>
          <w:i/>
          <w:sz w:val="20"/>
          <w:szCs w:val="20"/>
        </w:rPr>
      </w:pPr>
      <w:r>
        <w:rPr>
          <w:noProof/>
        </w:rPr>
        <w:drawing>
          <wp:anchor distT="0" distB="0" distL="0" distR="0" simplePos="0" relativeHeight="251665408" behindDoc="1" locked="0" layoutInCell="1" allowOverlap="1" wp14:anchorId="53B41492" wp14:editId="69DDD40F">
            <wp:simplePos x="0" y="0"/>
            <wp:positionH relativeFrom="margin">
              <wp:align>left</wp:align>
            </wp:positionH>
            <wp:positionV relativeFrom="paragraph">
              <wp:posOffset>251460</wp:posOffset>
            </wp:positionV>
            <wp:extent cx="2598420" cy="1813560"/>
            <wp:effectExtent l="0" t="0" r="0" b="0"/>
            <wp:wrapSquare wrapText="bothSides"/>
            <wp:docPr id="126" name="Picture 126"/>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a:stretch/>
                  </pic:blipFill>
                  <pic:spPr>
                    <a:xfrm>
                      <a:off x="0" y="0"/>
                      <a:ext cx="2598420" cy="1813560"/>
                    </a:xfrm>
                    <a:prstGeom prst="rect">
                      <a:avLst/>
                    </a:prstGeom>
                    <a:ln>
                      <a:noFill/>
                    </a:ln>
                  </pic:spPr>
                </pic:pic>
              </a:graphicData>
            </a:graphic>
            <wp14:sizeRelH relativeFrom="margin">
              <wp14:pctWidth>0</wp14:pctWidth>
            </wp14:sizeRelH>
            <wp14:sizeRelV relativeFrom="margin">
              <wp14:pctHeight>0</wp14:pctHeight>
            </wp14:sizeRelV>
          </wp:anchor>
        </w:drawing>
      </w:r>
    </w:p>
    <w:p w14:paraId="4CD4203B" w14:textId="4C0F107B" w:rsidR="006A488F" w:rsidRDefault="006A488F" w:rsidP="0000471F">
      <w:pPr>
        <w:spacing w:before="120"/>
        <w:rPr>
          <w:rFonts w:ascii="Calibri" w:hAnsi="Calibri"/>
          <w:i/>
          <w:sz w:val="20"/>
          <w:szCs w:val="20"/>
        </w:rPr>
      </w:pPr>
    </w:p>
    <w:p w14:paraId="7A0109DD" w14:textId="77777777" w:rsidR="006A488F" w:rsidRDefault="006A488F" w:rsidP="0000471F">
      <w:pPr>
        <w:spacing w:before="120"/>
        <w:rPr>
          <w:rFonts w:ascii="Calibri" w:hAnsi="Calibri"/>
          <w:i/>
          <w:sz w:val="20"/>
          <w:szCs w:val="20"/>
        </w:rPr>
      </w:pPr>
    </w:p>
    <w:p w14:paraId="17E0BA19" w14:textId="77777777" w:rsidR="006A488F" w:rsidRDefault="006A488F" w:rsidP="0000471F">
      <w:pPr>
        <w:spacing w:before="120"/>
        <w:rPr>
          <w:rFonts w:ascii="Calibri" w:hAnsi="Calibri"/>
          <w:i/>
          <w:sz w:val="20"/>
          <w:szCs w:val="20"/>
        </w:rPr>
      </w:pPr>
    </w:p>
    <w:p w14:paraId="1AD6DC51" w14:textId="77777777" w:rsidR="006A488F" w:rsidRDefault="006A488F" w:rsidP="0000471F">
      <w:pPr>
        <w:spacing w:before="120"/>
        <w:rPr>
          <w:rFonts w:ascii="Calibri" w:hAnsi="Calibri"/>
          <w:i/>
          <w:sz w:val="20"/>
          <w:szCs w:val="20"/>
        </w:rPr>
      </w:pPr>
    </w:p>
    <w:p w14:paraId="79D2ECB1" w14:textId="77777777" w:rsidR="006A488F" w:rsidRDefault="006A488F" w:rsidP="0000471F">
      <w:pPr>
        <w:spacing w:before="120"/>
        <w:rPr>
          <w:rFonts w:ascii="Calibri" w:hAnsi="Calibri"/>
          <w:i/>
          <w:sz w:val="20"/>
          <w:szCs w:val="20"/>
        </w:rPr>
      </w:pPr>
    </w:p>
    <w:p w14:paraId="68EA13ED" w14:textId="77777777" w:rsidR="006A488F" w:rsidRDefault="006A488F" w:rsidP="0000471F">
      <w:pPr>
        <w:spacing w:before="120"/>
        <w:rPr>
          <w:rFonts w:ascii="Calibri" w:hAnsi="Calibri"/>
          <w:i/>
          <w:sz w:val="20"/>
          <w:szCs w:val="20"/>
        </w:rPr>
      </w:pPr>
    </w:p>
    <w:p w14:paraId="09FE1338" w14:textId="77777777" w:rsidR="006A488F" w:rsidRDefault="006A488F" w:rsidP="0000471F">
      <w:pPr>
        <w:spacing w:before="120"/>
        <w:rPr>
          <w:rFonts w:ascii="Calibri" w:hAnsi="Calibri"/>
          <w:i/>
          <w:sz w:val="20"/>
          <w:szCs w:val="20"/>
        </w:rPr>
      </w:pPr>
    </w:p>
    <w:p w14:paraId="3E66ACA4" w14:textId="77777777" w:rsidR="00C26A6F" w:rsidRDefault="00C26A6F" w:rsidP="0000471F">
      <w:pPr>
        <w:spacing w:before="120"/>
        <w:rPr>
          <w:rFonts w:ascii="Calibri" w:hAnsi="Calibri"/>
          <w:i/>
          <w:sz w:val="20"/>
          <w:szCs w:val="20"/>
        </w:rPr>
      </w:pPr>
    </w:p>
    <w:p w14:paraId="01003032" w14:textId="00F191FE" w:rsidR="0000471F" w:rsidRDefault="006A488F" w:rsidP="0000471F">
      <w:pPr>
        <w:spacing w:before="120"/>
        <w:rPr>
          <w:rFonts w:ascii="Calibri" w:hAnsi="Calibri"/>
          <w:i/>
          <w:sz w:val="20"/>
          <w:szCs w:val="20"/>
        </w:rPr>
      </w:pPr>
      <w:r>
        <w:rPr>
          <w:rFonts w:ascii="Calibri" w:hAnsi="Calibri"/>
          <w:i/>
          <w:sz w:val="20"/>
          <w:szCs w:val="20"/>
        </w:rPr>
        <w:t>Grease has escaped from a bearing in the drive of a storage and retrieval system</w:t>
      </w:r>
      <w:r w:rsidR="0000471F">
        <w:rPr>
          <w:rFonts w:ascii="Calibri" w:hAnsi="Calibri"/>
          <w:i/>
          <w:sz w:val="20"/>
          <w:szCs w:val="20"/>
        </w:rPr>
        <w:t>.</w:t>
      </w:r>
    </w:p>
    <w:p w14:paraId="2AB34A4D" w14:textId="0E941ABF" w:rsidR="006A488F" w:rsidRDefault="00C26A6F" w:rsidP="0000471F">
      <w:pPr>
        <w:spacing w:before="120"/>
        <w:rPr>
          <w:rFonts w:ascii="Calibri" w:hAnsi="Calibri"/>
          <w:i/>
          <w:sz w:val="20"/>
          <w:szCs w:val="20"/>
        </w:rPr>
      </w:pPr>
      <w:r>
        <w:rPr>
          <w:noProof/>
        </w:rPr>
        <w:lastRenderedPageBreak/>
        <w:drawing>
          <wp:anchor distT="0" distB="0" distL="0" distR="0" simplePos="0" relativeHeight="251667456" behindDoc="1" locked="0" layoutInCell="1" allowOverlap="1" wp14:anchorId="4AAA27BB" wp14:editId="1E91E6F9">
            <wp:simplePos x="0" y="0"/>
            <wp:positionH relativeFrom="margin">
              <wp:align>left</wp:align>
            </wp:positionH>
            <wp:positionV relativeFrom="paragraph">
              <wp:posOffset>0</wp:posOffset>
            </wp:positionV>
            <wp:extent cx="2987040" cy="1996440"/>
            <wp:effectExtent l="0" t="0" r="3810" b="3810"/>
            <wp:wrapSquare wrapText="bothSides"/>
            <wp:docPr id="124" name="Picture 124"/>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stretch/>
                  </pic:blipFill>
                  <pic:spPr>
                    <a:xfrm>
                      <a:off x="0" y="0"/>
                      <a:ext cx="2987040" cy="1996440"/>
                    </a:xfrm>
                    <a:prstGeom prst="rect">
                      <a:avLst/>
                    </a:prstGeom>
                    <a:ln>
                      <a:noFill/>
                    </a:ln>
                  </pic:spPr>
                </pic:pic>
              </a:graphicData>
            </a:graphic>
            <wp14:sizeRelH relativeFrom="margin">
              <wp14:pctWidth>0</wp14:pctWidth>
            </wp14:sizeRelH>
            <wp14:sizeRelV relativeFrom="margin">
              <wp14:pctHeight>0</wp14:pctHeight>
            </wp14:sizeRelV>
          </wp:anchor>
        </w:drawing>
      </w:r>
    </w:p>
    <w:p w14:paraId="275E4512" w14:textId="62D2C742" w:rsidR="006A488F" w:rsidRDefault="00C26A6F" w:rsidP="0000471F">
      <w:pPr>
        <w:spacing w:before="120"/>
        <w:rPr>
          <w:rFonts w:ascii="Calibri" w:hAnsi="Calibri"/>
          <w:i/>
          <w:sz w:val="20"/>
          <w:szCs w:val="20"/>
        </w:rPr>
      </w:pPr>
      <w:r>
        <w:rPr>
          <w:noProof/>
        </w:rPr>
        <w:drawing>
          <wp:anchor distT="0" distB="0" distL="0" distR="0" simplePos="0" relativeHeight="251669504" behindDoc="1" locked="0" layoutInCell="1" allowOverlap="1" wp14:anchorId="4E5DCCD0" wp14:editId="7FE2B410">
            <wp:simplePos x="0" y="0"/>
            <wp:positionH relativeFrom="column">
              <wp:posOffset>2366645</wp:posOffset>
            </wp:positionH>
            <wp:positionV relativeFrom="paragraph">
              <wp:posOffset>67310</wp:posOffset>
            </wp:positionV>
            <wp:extent cx="528955" cy="609600"/>
            <wp:effectExtent l="0" t="0" r="4445" b="0"/>
            <wp:wrapSquare wrapText="bothSides"/>
            <wp:docPr id="128" name="Picture 128"/>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3"/>
                    <a:stretch/>
                  </pic:blipFill>
                  <pic:spPr>
                    <a:xfrm>
                      <a:off x="0" y="0"/>
                      <a:ext cx="528955" cy="609600"/>
                    </a:xfrm>
                    <a:prstGeom prst="rect">
                      <a:avLst/>
                    </a:prstGeom>
                    <a:ln>
                      <a:noFill/>
                    </a:ln>
                  </pic:spPr>
                </pic:pic>
              </a:graphicData>
            </a:graphic>
            <wp14:sizeRelH relativeFrom="margin">
              <wp14:pctWidth>0</wp14:pctWidth>
            </wp14:sizeRelH>
            <wp14:sizeRelV relativeFrom="margin">
              <wp14:pctHeight>0</wp14:pctHeight>
            </wp14:sizeRelV>
          </wp:anchor>
        </w:drawing>
      </w:r>
    </w:p>
    <w:p w14:paraId="38D242B1" w14:textId="210D86DC" w:rsidR="006A488F" w:rsidRDefault="006A488F" w:rsidP="0000471F">
      <w:pPr>
        <w:spacing w:before="120"/>
        <w:rPr>
          <w:rFonts w:ascii="Calibri" w:hAnsi="Calibri"/>
          <w:i/>
          <w:sz w:val="20"/>
          <w:szCs w:val="20"/>
        </w:rPr>
      </w:pPr>
    </w:p>
    <w:p w14:paraId="63E0863C" w14:textId="69A36476" w:rsidR="006A488F" w:rsidRDefault="006A488F" w:rsidP="0000471F">
      <w:pPr>
        <w:spacing w:before="120"/>
        <w:rPr>
          <w:rFonts w:ascii="Calibri" w:hAnsi="Calibri"/>
          <w:i/>
          <w:sz w:val="20"/>
          <w:szCs w:val="20"/>
        </w:rPr>
      </w:pPr>
    </w:p>
    <w:p w14:paraId="5AFE6FD0" w14:textId="6E1465BC" w:rsidR="006A488F" w:rsidRDefault="006A488F" w:rsidP="0000471F">
      <w:pPr>
        <w:spacing w:before="120"/>
        <w:rPr>
          <w:rFonts w:ascii="Calibri" w:hAnsi="Calibri"/>
          <w:i/>
          <w:sz w:val="20"/>
          <w:szCs w:val="20"/>
        </w:rPr>
      </w:pPr>
    </w:p>
    <w:p w14:paraId="1F8FE212" w14:textId="6DE0A148" w:rsidR="006A488F" w:rsidRDefault="006A488F" w:rsidP="0000471F">
      <w:pPr>
        <w:spacing w:before="120"/>
        <w:rPr>
          <w:rFonts w:ascii="Calibri" w:hAnsi="Calibri"/>
          <w:i/>
          <w:sz w:val="20"/>
          <w:szCs w:val="20"/>
        </w:rPr>
      </w:pPr>
    </w:p>
    <w:p w14:paraId="5D9831B4" w14:textId="32B7AB9F" w:rsidR="006A488F" w:rsidRDefault="006A488F" w:rsidP="0000471F">
      <w:pPr>
        <w:spacing w:before="120"/>
        <w:rPr>
          <w:rFonts w:ascii="Calibri" w:hAnsi="Calibri"/>
          <w:i/>
          <w:sz w:val="20"/>
          <w:szCs w:val="20"/>
        </w:rPr>
      </w:pPr>
    </w:p>
    <w:p w14:paraId="035883E6" w14:textId="77777777" w:rsidR="00C26A6F" w:rsidRDefault="00C26A6F" w:rsidP="0000471F">
      <w:pPr>
        <w:spacing w:before="120"/>
        <w:rPr>
          <w:rFonts w:ascii="Calibri" w:hAnsi="Calibri"/>
          <w:i/>
          <w:sz w:val="20"/>
          <w:szCs w:val="20"/>
        </w:rPr>
      </w:pPr>
    </w:p>
    <w:p w14:paraId="31D6DDEF" w14:textId="77777777" w:rsidR="00C26A6F" w:rsidRDefault="00C26A6F" w:rsidP="0000471F">
      <w:pPr>
        <w:spacing w:before="120"/>
        <w:rPr>
          <w:rFonts w:ascii="Calibri" w:hAnsi="Calibri"/>
          <w:i/>
          <w:sz w:val="20"/>
          <w:szCs w:val="20"/>
        </w:rPr>
      </w:pPr>
    </w:p>
    <w:p w14:paraId="4B3FB573" w14:textId="75C8C267" w:rsidR="006A488F" w:rsidRDefault="006A488F" w:rsidP="0000471F">
      <w:pPr>
        <w:spacing w:before="120"/>
        <w:rPr>
          <w:rFonts w:ascii="Calibri" w:hAnsi="Calibri"/>
          <w:i/>
          <w:sz w:val="20"/>
          <w:szCs w:val="20"/>
        </w:rPr>
      </w:pPr>
      <w:r>
        <w:rPr>
          <w:rFonts w:ascii="Calibri" w:hAnsi="Calibri"/>
          <w:i/>
          <w:sz w:val="20"/>
          <w:szCs w:val="20"/>
        </w:rPr>
        <w:t>Schaeffler SmartCheck installed on the drive of a storage and retrieval system.</w:t>
      </w:r>
    </w:p>
    <w:p w14:paraId="12E21393" w14:textId="77777777" w:rsidR="006A488F" w:rsidRPr="00383D0B" w:rsidRDefault="006A488F" w:rsidP="0000471F">
      <w:pPr>
        <w:spacing w:before="120"/>
        <w:rPr>
          <w:rFonts w:ascii="Calibri" w:hAnsi="Calibri" w:cs="Calibri"/>
          <w:i/>
          <w:sz w:val="20"/>
          <w:szCs w:val="20"/>
        </w:rPr>
      </w:pPr>
    </w:p>
    <w:p w14:paraId="6AD08C57" w14:textId="77777777" w:rsidR="0000471F" w:rsidRDefault="0000471F" w:rsidP="0000471F">
      <w:r>
        <w:t>Photos: Schaeffler</w:t>
      </w:r>
    </w:p>
    <w:p w14:paraId="7F4AA07D" w14:textId="77777777" w:rsidR="008535BD" w:rsidRPr="00A20B33" w:rsidRDefault="008535BD" w:rsidP="008535BD">
      <w:pPr>
        <w:rPr>
          <w:rFonts w:ascii="Calibri" w:hAnsi="Calibri" w:cs="Calibri"/>
          <w:color w:val="auto"/>
        </w:rPr>
      </w:pP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8535BD" w:rsidRPr="00B00195" w14:paraId="162D5BE3" w14:textId="77777777" w:rsidTr="00BA165B">
        <w:trPr>
          <w:trHeight w:hRule="exact" w:val="340"/>
        </w:trPr>
        <w:tc>
          <w:tcPr>
            <w:tcW w:w="7370" w:type="dxa"/>
            <w:tcBorders>
              <w:bottom w:val="single" w:sz="2" w:space="0" w:color="646464"/>
            </w:tcBorders>
          </w:tcPr>
          <w:p w14:paraId="6CFBE281" w14:textId="77777777" w:rsidR="008535BD" w:rsidRPr="00B00195" w:rsidRDefault="008535BD" w:rsidP="00BA165B"/>
        </w:tc>
      </w:tr>
      <w:tr w:rsidR="008535BD" w:rsidRPr="00B00195" w14:paraId="36C84A15" w14:textId="77777777" w:rsidTr="00BA165B">
        <w:trPr>
          <w:trHeight w:hRule="exact" w:val="340"/>
        </w:trPr>
        <w:tc>
          <w:tcPr>
            <w:tcW w:w="7370" w:type="dxa"/>
            <w:tcBorders>
              <w:top w:val="single" w:sz="2" w:space="0" w:color="646464"/>
            </w:tcBorders>
          </w:tcPr>
          <w:p w14:paraId="652AD207" w14:textId="77777777" w:rsidR="008535BD" w:rsidRPr="00B00195" w:rsidRDefault="008535BD" w:rsidP="00BA165B"/>
        </w:tc>
      </w:tr>
    </w:tbl>
    <w:p w14:paraId="3CCEE4EA" w14:textId="77777777" w:rsidR="008535BD" w:rsidRPr="00CD7E4A" w:rsidRDefault="008535BD" w:rsidP="008535BD">
      <w:pPr>
        <w:pStyle w:val="Hinweisfett"/>
      </w:pPr>
      <w:r>
        <w:t>About Schaeffler</w:t>
      </w:r>
    </w:p>
    <w:p w14:paraId="6830C451" w14:textId="77777777" w:rsidR="008535BD" w:rsidRPr="006141A6" w:rsidRDefault="008535BD" w:rsidP="008535BD">
      <w:pPr>
        <w:pStyle w:val="Hinweis"/>
        <w:rPr>
          <w:rFonts w:ascii="Calibri" w:hAnsi="Calibri" w:cs="Calibri"/>
          <w:szCs w:val="16"/>
        </w:rPr>
      </w:pPr>
      <w:bookmarkStart w:id="2" w:name="_Hlk31817536"/>
      <w:r>
        <w:rPr>
          <w:rFonts w:ascii="Calibri" w:hAnsi="Calibri"/>
          <w:szCs w:val="16"/>
        </w:rPr>
        <w:t xml:space="preserve">The Schaeffler Group is a leading global supplier to the automotive and industrial sectors. Its portfolio includes high-precision components and systems for engine, </w:t>
      </w:r>
      <w:proofErr w:type="gramStart"/>
      <w:r>
        <w:rPr>
          <w:rFonts w:ascii="Calibri" w:hAnsi="Calibri"/>
          <w:szCs w:val="16"/>
        </w:rPr>
        <w:t>transmission</w:t>
      </w:r>
      <w:proofErr w:type="gramEnd"/>
      <w:r>
        <w:rPr>
          <w:rFonts w:ascii="Calibri" w:hAnsi="Calibri"/>
          <w:szCs w:val="16"/>
        </w:rPr>
        <w:t xml:space="preserve"> and chassis applications as well as rolling and plain bearing solutions for a large number of industrial applications. The Schaeffler Group is already shaping “Mobility for tomorrow” to a significant degree with innovative and sustainable technologies for electric mobility, digitalization, and Industry 4.0. The technology company generated sales of approximately EUR 14.4 billion in 2019. With around 87,700 employees, Schaeffler is one of the world’s largest family companies and, with approximately 170 locations in over 50 countries, has a worldwide network of manufacturing locations, research and development facilities, and sales companies. With just on 2,400 patent applications in 2019, Schaeffler is Germany’s second most innovative company according to the DPMA (German Patent and Trademark Office).</w:t>
      </w:r>
    </w:p>
    <w:bookmarkEnd w:id="2"/>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C20EA4" w14:paraId="33FBCC46" w14:textId="77777777" w:rsidTr="00BA165B">
        <w:trPr>
          <w:trHeight w:hRule="exact" w:val="340"/>
        </w:trPr>
        <w:tc>
          <w:tcPr>
            <w:tcW w:w="7370" w:type="dxa"/>
            <w:tcBorders>
              <w:bottom w:val="single" w:sz="2" w:space="0" w:color="646464"/>
            </w:tcBorders>
          </w:tcPr>
          <w:p w14:paraId="31E83310" w14:textId="77777777" w:rsidR="008535BD" w:rsidRPr="00C20EA4" w:rsidRDefault="008535BD" w:rsidP="00BA165B"/>
        </w:tc>
      </w:tr>
      <w:tr w:rsidR="008535BD" w:rsidRPr="00C20EA4" w14:paraId="144B1413" w14:textId="77777777" w:rsidTr="00BA165B">
        <w:trPr>
          <w:trHeight w:hRule="exact" w:val="340"/>
        </w:trPr>
        <w:tc>
          <w:tcPr>
            <w:tcW w:w="7370" w:type="dxa"/>
            <w:tcBorders>
              <w:top w:val="single" w:sz="2" w:space="0" w:color="646464"/>
            </w:tcBorders>
          </w:tcPr>
          <w:p w14:paraId="5DD85CA4" w14:textId="77777777" w:rsidR="008535BD" w:rsidRPr="00C20EA4" w:rsidRDefault="008535BD" w:rsidP="00BA165B"/>
          <w:p w14:paraId="5066D6CB" w14:textId="77777777" w:rsidR="008535BD" w:rsidRPr="00C20EA4" w:rsidRDefault="008535BD" w:rsidP="00BA165B"/>
        </w:tc>
      </w:tr>
    </w:tbl>
    <w:p w14:paraId="1F4DC6B7" w14:textId="77777777" w:rsidR="008535BD" w:rsidRDefault="008535BD" w:rsidP="008535BD">
      <w:pPr>
        <w:spacing w:before="0"/>
        <w:rPr>
          <w:rStyle w:val="Strong"/>
        </w:rPr>
      </w:pPr>
    </w:p>
    <w:p w14:paraId="05CD1B99"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5"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7"/>
                    </pic:cNvPr>
                    <pic:cNvPicPr/>
                  </pic:nvPicPr>
                  <pic:blipFill>
                    <a:blip r:embed="rId18" cstate="print"/>
                    <a:stretch>
                      <a:fillRect/>
                    </a:stretch>
                  </pic:blipFill>
                  <pic:spPr>
                    <a:xfrm>
                      <a:off x="0" y="0"/>
                      <a:ext cx="246380" cy="252095"/>
                    </a:xfrm>
                    <a:prstGeom prst="rect">
                      <a:avLst/>
                    </a:prstGeom>
                  </pic:spPr>
                </pic:pic>
              </a:graphicData>
            </a:graphic>
          </wp:inline>
        </w:drawing>
      </w:r>
      <w:r>
        <w:t xml:space="preserve">    </w:t>
      </w:r>
      <w:hyperlink r:id="rId19"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20"/>
                    </pic:cNvPr>
                    <pic:cNvPicPr>
                      <a:picLocks noChangeAspect="1" noChangeArrowheads="1"/>
                    </pic:cNvPicPr>
                  </pic:nvPicPr>
                  <pic:blipFill>
                    <a:blip r:embed="rId21"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2"/>
                    </pic:cNvPr>
                    <pic:cNvPicPr>
                      <a:picLocks noChangeAspect="1" noChangeArrowheads="1"/>
                    </pic:cNvPicPr>
                  </pic:nvPicPr>
                  <pic:blipFill>
                    <a:blip r:embed="rId23"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4"/>
                    </pic:cNvPr>
                    <pic:cNvPicPr>
                      <a:picLocks noChangeAspect="1" noChangeArrowheads="1"/>
                    </pic:cNvPicPr>
                  </pic:nvPicPr>
                  <pic:blipFill>
                    <a:blip r:embed="rId25"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6"/>
                    </pic:cNvPr>
                    <pic:cNvPicPr>
                      <a:picLocks noChangeAspect="1" noChangeArrowheads="1"/>
                    </pic:cNvPicPr>
                  </pic:nvPicPr>
                  <pic:blipFill>
                    <a:blip r:embed="rId27"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8"/>
                    </pic:cNvPr>
                    <pic:cNvPicPr>
                      <a:picLocks noChangeAspect="1" noChangeArrowheads="1"/>
                    </pic:cNvPicPr>
                  </pic:nvPicPr>
                  <pic:blipFill>
                    <a:blip r:embed="rId29"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30"/>
      <w:footerReference w:type="default" r:id="rId31"/>
      <w:headerReference w:type="first" r:id="rId32"/>
      <w:footerReference w:type="first" r:id="rId33"/>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A9C4A" w14:textId="77777777" w:rsidR="00996BF1" w:rsidRDefault="00996BF1" w:rsidP="00DF6567">
      <w:pPr>
        <w:spacing w:line="240" w:lineRule="auto"/>
      </w:pPr>
      <w:r>
        <w:separator/>
      </w:r>
    </w:p>
  </w:endnote>
  <w:endnote w:type="continuationSeparator" w:id="0">
    <w:p w14:paraId="3CC033C7" w14:textId="77777777" w:rsidR="00996BF1" w:rsidRDefault="00996BF1"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6A5C61" w:rsidRDefault="006A5C61" w:rsidP="000A262F">
        <w:pPr>
          <w:pStyle w:val="BU"/>
        </w:pPr>
        <w:r w:rsidRPr="00AB5AB6">
          <w:fldChar w:fldCharType="begin"/>
        </w:r>
        <w:r w:rsidRPr="00AB5AB6">
          <w:instrText>PAGE   \* MERGEFORMAT</w:instrText>
        </w:r>
        <w:r w:rsidRPr="00AB5AB6">
          <w:fldChar w:fldCharType="separate"/>
        </w:r>
        <w:r w:rsidR="0054049A">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026162" w:rsidRDefault="00026162" w:rsidP="000A262F">
        <w:pPr>
          <w:pStyle w:val="BU"/>
        </w:pPr>
        <w:r>
          <w:fldChar w:fldCharType="begin"/>
        </w:r>
        <w:r>
          <w:instrText>PAGE   \* MERGEFORMAT</w:instrText>
        </w:r>
        <w:r>
          <w:fldChar w:fldCharType="separate"/>
        </w:r>
        <w:r w:rsidR="0054049A">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F783A" w14:textId="77777777" w:rsidR="00996BF1" w:rsidRDefault="00996BF1" w:rsidP="00DF6567">
      <w:pPr>
        <w:spacing w:line="240" w:lineRule="auto"/>
      </w:pPr>
      <w:r>
        <w:separator/>
      </w:r>
    </w:p>
  </w:footnote>
  <w:footnote w:type="continuationSeparator" w:id="0">
    <w:p w14:paraId="0FDBCFDA" w14:textId="77777777" w:rsidR="00996BF1" w:rsidRDefault="00996BF1"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DF6567" w:rsidRDefault="007C0770"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AB5AB6" w:rsidRDefault="00AB5AB6">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3"/>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2077D"/>
    <w:rsid w:val="00026162"/>
    <w:rsid w:val="0002634A"/>
    <w:rsid w:val="00047292"/>
    <w:rsid w:val="00061E5E"/>
    <w:rsid w:val="00075654"/>
    <w:rsid w:val="00095AF9"/>
    <w:rsid w:val="00097096"/>
    <w:rsid w:val="000A183F"/>
    <w:rsid w:val="000A262F"/>
    <w:rsid w:val="000C57A5"/>
    <w:rsid w:val="000D3A25"/>
    <w:rsid w:val="000E100D"/>
    <w:rsid w:val="000E67F0"/>
    <w:rsid w:val="000F78D3"/>
    <w:rsid w:val="00102EE4"/>
    <w:rsid w:val="00104DD2"/>
    <w:rsid w:val="00105DA7"/>
    <w:rsid w:val="00106786"/>
    <w:rsid w:val="00113A4F"/>
    <w:rsid w:val="0012172A"/>
    <w:rsid w:val="0012719B"/>
    <w:rsid w:val="0013382E"/>
    <w:rsid w:val="00145086"/>
    <w:rsid w:val="00152491"/>
    <w:rsid w:val="00153B3F"/>
    <w:rsid w:val="001620B6"/>
    <w:rsid w:val="00162450"/>
    <w:rsid w:val="00162506"/>
    <w:rsid w:val="00176DCC"/>
    <w:rsid w:val="001909D1"/>
    <w:rsid w:val="001A2241"/>
    <w:rsid w:val="001A4DFA"/>
    <w:rsid w:val="001D028C"/>
    <w:rsid w:val="001D481B"/>
    <w:rsid w:val="001F0BB7"/>
    <w:rsid w:val="001F3660"/>
    <w:rsid w:val="002102F5"/>
    <w:rsid w:val="00220896"/>
    <w:rsid w:val="00221AA2"/>
    <w:rsid w:val="00223792"/>
    <w:rsid w:val="00226573"/>
    <w:rsid w:val="002317C9"/>
    <w:rsid w:val="00236F91"/>
    <w:rsid w:val="00265326"/>
    <w:rsid w:val="00272C36"/>
    <w:rsid w:val="00272D28"/>
    <w:rsid w:val="00291368"/>
    <w:rsid w:val="00296941"/>
    <w:rsid w:val="002A1879"/>
    <w:rsid w:val="002E68F4"/>
    <w:rsid w:val="002F71F8"/>
    <w:rsid w:val="00300D11"/>
    <w:rsid w:val="003022D5"/>
    <w:rsid w:val="003060A0"/>
    <w:rsid w:val="00327BFC"/>
    <w:rsid w:val="0033108C"/>
    <w:rsid w:val="00336E29"/>
    <w:rsid w:val="00357CC4"/>
    <w:rsid w:val="00371904"/>
    <w:rsid w:val="0037195E"/>
    <w:rsid w:val="00380E98"/>
    <w:rsid w:val="00390428"/>
    <w:rsid w:val="00395285"/>
    <w:rsid w:val="003961A3"/>
    <w:rsid w:val="003A1F52"/>
    <w:rsid w:val="003C2A2A"/>
    <w:rsid w:val="003C755C"/>
    <w:rsid w:val="003E7355"/>
    <w:rsid w:val="003F5C4E"/>
    <w:rsid w:val="00414722"/>
    <w:rsid w:val="00417C4B"/>
    <w:rsid w:val="00420B4E"/>
    <w:rsid w:val="00423BD5"/>
    <w:rsid w:val="0044790B"/>
    <w:rsid w:val="0045526D"/>
    <w:rsid w:val="00460BD8"/>
    <w:rsid w:val="004740C9"/>
    <w:rsid w:val="00474261"/>
    <w:rsid w:val="00483F90"/>
    <w:rsid w:val="004A4AFC"/>
    <w:rsid w:val="004A5DBD"/>
    <w:rsid w:val="004A7DBF"/>
    <w:rsid w:val="004B114C"/>
    <w:rsid w:val="004B2BCC"/>
    <w:rsid w:val="004B70EF"/>
    <w:rsid w:val="004C458A"/>
    <w:rsid w:val="004D20C4"/>
    <w:rsid w:val="004F0FDA"/>
    <w:rsid w:val="004F752B"/>
    <w:rsid w:val="00506203"/>
    <w:rsid w:val="00520B52"/>
    <w:rsid w:val="00521B83"/>
    <w:rsid w:val="005232BD"/>
    <w:rsid w:val="00523C0B"/>
    <w:rsid w:val="005254C5"/>
    <w:rsid w:val="0054049A"/>
    <w:rsid w:val="00555FB0"/>
    <w:rsid w:val="00556401"/>
    <w:rsid w:val="005926D5"/>
    <w:rsid w:val="005A1D01"/>
    <w:rsid w:val="005B089F"/>
    <w:rsid w:val="005D2320"/>
    <w:rsid w:val="005E4E62"/>
    <w:rsid w:val="005F148F"/>
    <w:rsid w:val="005F2CF1"/>
    <w:rsid w:val="005F6947"/>
    <w:rsid w:val="00600AC2"/>
    <w:rsid w:val="006169C5"/>
    <w:rsid w:val="00622BF4"/>
    <w:rsid w:val="00624707"/>
    <w:rsid w:val="0063105E"/>
    <w:rsid w:val="0063204D"/>
    <w:rsid w:val="006607A2"/>
    <w:rsid w:val="00677A29"/>
    <w:rsid w:val="00681E79"/>
    <w:rsid w:val="00682D46"/>
    <w:rsid w:val="00697E4C"/>
    <w:rsid w:val="006A05A8"/>
    <w:rsid w:val="006A3B8C"/>
    <w:rsid w:val="006A488F"/>
    <w:rsid w:val="006A5C61"/>
    <w:rsid w:val="006B6318"/>
    <w:rsid w:val="006C22E7"/>
    <w:rsid w:val="006D65F9"/>
    <w:rsid w:val="006E754B"/>
    <w:rsid w:val="006E77CB"/>
    <w:rsid w:val="006F5547"/>
    <w:rsid w:val="00707B60"/>
    <w:rsid w:val="007166DE"/>
    <w:rsid w:val="00731BC9"/>
    <w:rsid w:val="00731ECC"/>
    <w:rsid w:val="007461CF"/>
    <w:rsid w:val="00775777"/>
    <w:rsid w:val="007975E0"/>
    <w:rsid w:val="007A31CF"/>
    <w:rsid w:val="007C0770"/>
    <w:rsid w:val="007C1A53"/>
    <w:rsid w:val="007D0988"/>
    <w:rsid w:val="007F2239"/>
    <w:rsid w:val="008049D3"/>
    <w:rsid w:val="0081556D"/>
    <w:rsid w:val="008201F9"/>
    <w:rsid w:val="00832FB2"/>
    <w:rsid w:val="00833016"/>
    <w:rsid w:val="00835BA1"/>
    <w:rsid w:val="008474A3"/>
    <w:rsid w:val="00851D1B"/>
    <w:rsid w:val="008535BD"/>
    <w:rsid w:val="00857DD6"/>
    <w:rsid w:val="00860C29"/>
    <w:rsid w:val="00871B32"/>
    <w:rsid w:val="00896A37"/>
    <w:rsid w:val="008A4E20"/>
    <w:rsid w:val="008B3C30"/>
    <w:rsid w:val="008B494F"/>
    <w:rsid w:val="008C0BC7"/>
    <w:rsid w:val="008D6725"/>
    <w:rsid w:val="00904836"/>
    <w:rsid w:val="00905667"/>
    <w:rsid w:val="00911F16"/>
    <w:rsid w:val="00914DF9"/>
    <w:rsid w:val="009232BD"/>
    <w:rsid w:val="00930BDD"/>
    <w:rsid w:val="00947EA3"/>
    <w:rsid w:val="009560C2"/>
    <w:rsid w:val="00971DD3"/>
    <w:rsid w:val="009874B1"/>
    <w:rsid w:val="00993A43"/>
    <w:rsid w:val="00996BF1"/>
    <w:rsid w:val="00997A99"/>
    <w:rsid w:val="009A31C6"/>
    <w:rsid w:val="009A5847"/>
    <w:rsid w:val="009A6878"/>
    <w:rsid w:val="009B056E"/>
    <w:rsid w:val="009C5F40"/>
    <w:rsid w:val="009E29E2"/>
    <w:rsid w:val="00A10B8D"/>
    <w:rsid w:val="00A121FA"/>
    <w:rsid w:val="00A154BD"/>
    <w:rsid w:val="00A468F2"/>
    <w:rsid w:val="00A544B3"/>
    <w:rsid w:val="00A60018"/>
    <w:rsid w:val="00A82D6A"/>
    <w:rsid w:val="00A84CBC"/>
    <w:rsid w:val="00AA16C2"/>
    <w:rsid w:val="00AA4D9E"/>
    <w:rsid w:val="00AB561A"/>
    <w:rsid w:val="00AB5AB6"/>
    <w:rsid w:val="00AB5D68"/>
    <w:rsid w:val="00AD0056"/>
    <w:rsid w:val="00AE3795"/>
    <w:rsid w:val="00AE4755"/>
    <w:rsid w:val="00B00195"/>
    <w:rsid w:val="00B0162B"/>
    <w:rsid w:val="00B05DA3"/>
    <w:rsid w:val="00B071CD"/>
    <w:rsid w:val="00B174C1"/>
    <w:rsid w:val="00B1782B"/>
    <w:rsid w:val="00B2433A"/>
    <w:rsid w:val="00B34616"/>
    <w:rsid w:val="00B4677C"/>
    <w:rsid w:val="00B53C7D"/>
    <w:rsid w:val="00B702E4"/>
    <w:rsid w:val="00B726AE"/>
    <w:rsid w:val="00B7410C"/>
    <w:rsid w:val="00B77F11"/>
    <w:rsid w:val="00B809A5"/>
    <w:rsid w:val="00BB54CA"/>
    <w:rsid w:val="00BC322E"/>
    <w:rsid w:val="00BC6214"/>
    <w:rsid w:val="00C1366B"/>
    <w:rsid w:val="00C20EA4"/>
    <w:rsid w:val="00C26483"/>
    <w:rsid w:val="00C26A6F"/>
    <w:rsid w:val="00C32B09"/>
    <w:rsid w:val="00C81756"/>
    <w:rsid w:val="00CD0C9F"/>
    <w:rsid w:val="00CD61A6"/>
    <w:rsid w:val="00CD7AE9"/>
    <w:rsid w:val="00CD7E4A"/>
    <w:rsid w:val="00CF0A14"/>
    <w:rsid w:val="00D02CD7"/>
    <w:rsid w:val="00D27390"/>
    <w:rsid w:val="00D43679"/>
    <w:rsid w:val="00D62638"/>
    <w:rsid w:val="00D63FDB"/>
    <w:rsid w:val="00D764A7"/>
    <w:rsid w:val="00DA41A6"/>
    <w:rsid w:val="00DA7F89"/>
    <w:rsid w:val="00DB077D"/>
    <w:rsid w:val="00DB561C"/>
    <w:rsid w:val="00DC6F13"/>
    <w:rsid w:val="00DD5C05"/>
    <w:rsid w:val="00DD78E4"/>
    <w:rsid w:val="00DE3A5B"/>
    <w:rsid w:val="00DE5A3C"/>
    <w:rsid w:val="00DF3D12"/>
    <w:rsid w:val="00DF6567"/>
    <w:rsid w:val="00DF7910"/>
    <w:rsid w:val="00E207CA"/>
    <w:rsid w:val="00E2779C"/>
    <w:rsid w:val="00E442C7"/>
    <w:rsid w:val="00E51A3F"/>
    <w:rsid w:val="00E7229B"/>
    <w:rsid w:val="00E90047"/>
    <w:rsid w:val="00E95B8A"/>
    <w:rsid w:val="00E9673A"/>
    <w:rsid w:val="00ED2E7D"/>
    <w:rsid w:val="00ED6DC7"/>
    <w:rsid w:val="00EF176D"/>
    <w:rsid w:val="00EF2702"/>
    <w:rsid w:val="00EF3150"/>
    <w:rsid w:val="00EF3D3E"/>
    <w:rsid w:val="00F02C46"/>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hyperlink" Target="https://www.youtube.com/user/SchaefflerGlobal"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chaeffler.com" TargetMode="External"/><Relationship Id="rId25" Type="http://schemas.openxmlformats.org/officeDocument/2006/relationships/image" Target="media/image10.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chaeffler.com/" TargetMode="External"/><Relationship Id="rId20" Type="http://schemas.openxmlformats.org/officeDocument/2006/relationships/hyperlink" Target="https://www.facebook.com/SchaefflerGroup"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instagram.com/schaefflergroup/"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laura.mckenzie@schaeffler.com" TargetMode="External"/><Relationship Id="rId23" Type="http://schemas.openxmlformats.org/officeDocument/2006/relationships/image" Target="media/image9.png"/><Relationship Id="rId28" Type="http://schemas.openxmlformats.org/officeDocument/2006/relationships/hyperlink" Target="http://www.linkedin.com/company/schaeffler" TargetMode="External"/><Relationship Id="rId10" Type="http://schemas.openxmlformats.org/officeDocument/2006/relationships/image" Target="media/image2.jpeg"/><Relationship Id="rId19" Type="http://schemas.openxmlformats.org/officeDocument/2006/relationships/hyperlink" Target="https://www.facebook.com/SchaefflerDeutschlan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yperlink" Target="https://twitter.com/schaefflergroup" TargetMode="External"/><Relationship Id="rId27" Type="http://schemas.openxmlformats.org/officeDocument/2006/relationships/image" Target="media/image11.pn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mailto:info.uk@schaeffl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emf"/></Relationships>
</file>

<file path=word/_rels/header2.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97FC1-D603-45E5-86F5-19294F4A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5116</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2020-07-08T13:01:00Z</dcterms:created>
  <dcterms:modified xsi:type="dcterms:W3CDTF">2020-07-08T13:01:00Z</dcterms:modified>
</cp:coreProperties>
</file>