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7982"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12" w:type="dxa"/>
          <w:right w:w="0" w:type="dxa"/>
        </w:tblCellMar>
        <w:tblLook w:val="04A0" w:firstRow="1" w:lastRow="0" w:firstColumn="1" w:lastColumn="0" w:noHBand="0" w:noVBand="1"/>
      </w:tblPr>
      <w:tblGrid>
        <w:gridCol w:w="612"/>
        <w:gridCol w:w="6758"/>
        <w:gridCol w:w="612"/>
      </w:tblGrid>
      <w:tr w:rsidR="00D43679" w:rsidRPr="00D43679" w14:paraId="497F5AFB" w14:textId="77777777" w:rsidTr="0020563C">
        <w:trPr>
          <w:gridBefore w:val="1"/>
          <w:wBefore w:w="612" w:type="dxa"/>
          <w:trHeight w:hRule="exact" w:val="595"/>
        </w:trPr>
        <w:tc>
          <w:tcPr>
            <w:tcW w:w="7370" w:type="dxa"/>
            <w:gridSpan w:val="2"/>
          </w:tcPr>
          <w:p w14:paraId="1C998B3D" w14:textId="5C371E1E" w:rsidR="0033108C" w:rsidRPr="00D43679" w:rsidRDefault="0033108C" w:rsidP="001D028C">
            <w:pPr>
              <w:pStyle w:val="Heading2"/>
              <w:outlineLvl w:val="1"/>
              <w:rPr>
                <w:b/>
                <w:color w:val="FF0000"/>
              </w:rPr>
            </w:pPr>
          </w:p>
        </w:tc>
      </w:tr>
      <w:tr w:rsidR="00D62638" w:rsidRPr="005E5EE4" w14:paraId="0358193D" w14:textId="77777777" w:rsidTr="0020563C">
        <w:trPr>
          <w:gridBefore w:val="1"/>
          <w:wBefore w:w="612" w:type="dxa"/>
          <w:trHeight w:hRule="exact" w:val="1758"/>
        </w:trPr>
        <w:tc>
          <w:tcPr>
            <w:tcW w:w="7370" w:type="dxa"/>
            <w:gridSpan w:val="2"/>
          </w:tcPr>
          <w:p w14:paraId="612D7B36" w14:textId="5B66391F" w:rsidR="0000471F" w:rsidRPr="005E5EE4" w:rsidRDefault="00DD37CB" w:rsidP="0000471F">
            <w:pPr>
              <w:pStyle w:val="Heading2"/>
              <w:outlineLvl w:val="1"/>
              <w:rPr>
                <w:lang w:val="en-GB"/>
              </w:rPr>
            </w:pPr>
            <w:r w:rsidRPr="005E5EE4">
              <w:rPr>
                <w:lang w:val="en-GB"/>
              </w:rPr>
              <w:t>Lubrication of bearings</w:t>
            </w:r>
          </w:p>
          <w:p w14:paraId="682C3773" w14:textId="17AA1211" w:rsidR="00D62638" w:rsidRPr="005E5EE4" w:rsidRDefault="00966C67" w:rsidP="0000471F">
            <w:pPr>
              <w:pStyle w:val="Heading1"/>
              <w:outlineLvl w:val="0"/>
              <w:rPr>
                <w:lang w:val="en-GB"/>
              </w:rPr>
            </w:pPr>
            <w:r w:rsidRPr="005E5EE4">
              <w:rPr>
                <w:lang w:val="en-GB"/>
              </w:rPr>
              <w:t xml:space="preserve">Schaeffler </w:t>
            </w:r>
            <w:r w:rsidR="00DD37CB" w:rsidRPr="005E5EE4">
              <w:rPr>
                <w:lang w:val="en-GB"/>
              </w:rPr>
              <w:t>introduces CONCEPT1</w:t>
            </w:r>
            <w:r w:rsidR="00DD37CB" w:rsidRPr="005E5EE4">
              <w:rPr>
                <w:rFonts w:cstheme="majorHAnsi"/>
                <w:lang w:val="en-GB"/>
              </w:rPr>
              <w:t>™</w:t>
            </w:r>
            <w:r w:rsidR="00DD37CB" w:rsidRPr="005E5EE4">
              <w:rPr>
                <w:lang w:val="en-GB"/>
              </w:rPr>
              <w:t xml:space="preserve"> single-point automatic lubricator</w:t>
            </w:r>
            <w:r w:rsidR="007C073B" w:rsidRPr="005E5EE4">
              <w:rPr>
                <w:lang w:val="en-GB"/>
              </w:rPr>
              <w:t xml:space="preserve"> </w:t>
            </w:r>
          </w:p>
        </w:tc>
      </w:tr>
      <w:tr w:rsidR="0020563C" w:rsidRPr="005E5EE4" w14:paraId="0F9C0874" w14:textId="77777777" w:rsidTr="0020563C">
        <w:trPr>
          <w:gridAfter w:val="1"/>
          <w:wAfter w:w="612" w:type="dxa"/>
          <w:trHeight w:hRule="exact" w:val="737"/>
        </w:trPr>
        <w:tc>
          <w:tcPr>
            <w:tcW w:w="7370" w:type="dxa"/>
            <w:gridSpan w:val="2"/>
          </w:tcPr>
          <w:p w14:paraId="2813832C" w14:textId="77777777" w:rsidR="0020563C" w:rsidRPr="005E5EE4" w:rsidRDefault="0020563C" w:rsidP="00C24963">
            <w:pPr>
              <w:rPr>
                <w:lang w:val="en-GB"/>
              </w:rPr>
            </w:pPr>
            <w:bookmarkStart w:id="0" w:name="_Hlk14262545"/>
          </w:p>
        </w:tc>
      </w:tr>
    </w:tbl>
    <w:p w14:paraId="6FFCF8F8" w14:textId="3CD1ACE1" w:rsidR="0020563C" w:rsidRPr="005E5EE4" w:rsidRDefault="00DD37CB" w:rsidP="0020563C">
      <w:pPr>
        <w:pStyle w:val="ListParagraph"/>
        <w:rPr>
          <w:lang w:val="en-GB"/>
        </w:rPr>
      </w:pPr>
      <w:r w:rsidRPr="005E5EE4">
        <w:rPr>
          <w:lang w:val="en-GB"/>
        </w:rPr>
        <w:t>CONCEPT1 single-point automatic lubricator now available in the UK</w:t>
      </w:r>
    </w:p>
    <w:p w14:paraId="7D77D627" w14:textId="3198EFB0" w:rsidR="00CC2C38" w:rsidRPr="005E5EE4" w:rsidRDefault="00DD37CB" w:rsidP="00E43CDC">
      <w:pPr>
        <w:pStyle w:val="ListParagraph"/>
        <w:rPr>
          <w:lang w:val="en-GB"/>
        </w:rPr>
      </w:pPr>
      <w:r w:rsidRPr="005E5EE4">
        <w:rPr>
          <w:lang w:val="en-GB"/>
        </w:rPr>
        <w:t>Engineered to ensure optimal lubrication and improve reliability of electric motors and other industrial machines</w:t>
      </w:r>
    </w:p>
    <w:p w14:paraId="7ECF34D5" w14:textId="7CEA608F" w:rsidR="00D70752" w:rsidRPr="005E5EE4" w:rsidRDefault="007139FE" w:rsidP="00E43CDC">
      <w:pPr>
        <w:pStyle w:val="ListParagraph"/>
        <w:rPr>
          <w:lang w:val="en-GB"/>
        </w:rPr>
      </w:pPr>
      <w:r>
        <w:rPr>
          <w:lang w:val="en-GB"/>
        </w:rPr>
        <w:t xml:space="preserve">Environmentally friendly refillable cartridge for use with </w:t>
      </w:r>
      <w:r w:rsidR="00DD37CB" w:rsidRPr="005E5EE4">
        <w:rPr>
          <w:lang w:val="en-GB"/>
        </w:rPr>
        <w:t>a variety of lubricant options, including Schaeffler’s range of Arcanol</w:t>
      </w:r>
      <w:r w:rsidR="00DD37CB" w:rsidRPr="005E5EE4">
        <w:rPr>
          <w:rFonts w:cstheme="minorHAnsi"/>
          <w:lang w:val="en-GB"/>
        </w:rPr>
        <w:t>™</w:t>
      </w:r>
      <w:r w:rsidR="00DD37CB" w:rsidRPr="005E5EE4">
        <w:rPr>
          <w:lang w:val="en-GB"/>
        </w:rPr>
        <w:t xml:space="preserve"> greases</w:t>
      </w:r>
    </w:p>
    <w:bookmarkEnd w:id="0"/>
    <w:p w14:paraId="42A877B1" w14:textId="21DF0E58" w:rsidR="00D70752" w:rsidRPr="005E5EE4" w:rsidRDefault="00357CC4" w:rsidP="009A51C2">
      <w:pPr>
        <w:spacing w:after="240"/>
        <w:rPr>
          <w:rFonts w:ascii="Calibri" w:hAnsi="Calibri"/>
          <w:lang w:val="en-GB"/>
        </w:rPr>
      </w:pPr>
      <w:r w:rsidRPr="005E5EE4">
        <w:rPr>
          <w:lang w:val="en-GB"/>
        </w:rPr>
        <w:t>Birmingham</w:t>
      </w:r>
      <w:r w:rsidR="00E7229B" w:rsidRPr="005E5EE4">
        <w:rPr>
          <w:lang w:val="en-GB"/>
        </w:rPr>
        <w:t xml:space="preserve">, </w:t>
      </w:r>
      <w:r w:rsidR="00697E4C" w:rsidRPr="005E5EE4">
        <w:rPr>
          <w:lang w:val="en-GB"/>
        </w:rPr>
        <w:t>UK</w:t>
      </w:r>
      <w:r w:rsidR="0002077D" w:rsidRPr="005E5EE4">
        <w:rPr>
          <w:lang w:val="en-GB"/>
        </w:rPr>
        <w:t xml:space="preserve"> | </w:t>
      </w:r>
      <w:r w:rsidR="00563369">
        <w:rPr>
          <w:lang w:val="en-GB"/>
        </w:rPr>
        <w:t>17</w:t>
      </w:r>
      <w:r w:rsidR="0002077D" w:rsidRPr="005E5EE4">
        <w:rPr>
          <w:lang w:val="en-GB"/>
        </w:rPr>
        <w:t xml:space="preserve">. </w:t>
      </w:r>
      <w:r w:rsidR="007139FE">
        <w:rPr>
          <w:lang w:val="en-GB"/>
        </w:rPr>
        <w:t>Novembe</w:t>
      </w:r>
      <w:r w:rsidR="00DD37CB" w:rsidRPr="005E5EE4">
        <w:rPr>
          <w:lang w:val="en-GB"/>
        </w:rPr>
        <w:t>r</w:t>
      </w:r>
      <w:r w:rsidR="007C073B" w:rsidRPr="005E5EE4">
        <w:rPr>
          <w:lang w:val="en-GB"/>
        </w:rPr>
        <w:t xml:space="preserve"> 20</w:t>
      </w:r>
      <w:r w:rsidR="00460BD8" w:rsidRPr="005E5EE4">
        <w:rPr>
          <w:lang w:val="en-GB"/>
        </w:rPr>
        <w:t>20</w:t>
      </w:r>
      <w:r w:rsidR="0002077D" w:rsidRPr="005E5EE4">
        <w:rPr>
          <w:lang w:val="en-GB"/>
        </w:rPr>
        <w:t xml:space="preserve"> </w:t>
      </w:r>
      <w:r w:rsidR="00E51A3F" w:rsidRPr="005E5EE4">
        <w:rPr>
          <w:lang w:val="en-GB"/>
        </w:rPr>
        <w:t xml:space="preserve">| </w:t>
      </w:r>
      <w:bookmarkStart w:id="1" w:name="_Hlk20909308"/>
      <w:r w:rsidR="009A51C2" w:rsidRPr="005E5EE4">
        <w:rPr>
          <w:lang w:val="en-GB"/>
        </w:rPr>
        <w:t xml:space="preserve">Global </w:t>
      </w:r>
      <w:r w:rsidR="00DD37CB" w:rsidRPr="005E5EE4">
        <w:rPr>
          <w:lang w:val="en-GB"/>
        </w:rPr>
        <w:t xml:space="preserve">industrial and </w:t>
      </w:r>
      <w:r w:rsidR="009A51C2" w:rsidRPr="005E5EE4">
        <w:rPr>
          <w:lang w:val="en-GB"/>
        </w:rPr>
        <w:t xml:space="preserve">automotive supplier </w:t>
      </w:r>
      <w:r w:rsidR="008F4943" w:rsidRPr="005E5EE4">
        <w:rPr>
          <w:rFonts w:ascii="Calibri" w:hAnsi="Calibri"/>
          <w:lang w:val="en-GB"/>
        </w:rPr>
        <w:t>S</w:t>
      </w:r>
      <w:bookmarkEnd w:id="1"/>
      <w:r w:rsidR="009A51C2" w:rsidRPr="005E5EE4">
        <w:rPr>
          <w:rFonts w:ascii="Calibri" w:hAnsi="Calibri"/>
          <w:lang w:val="en-GB"/>
        </w:rPr>
        <w:t xml:space="preserve">chaeffler </w:t>
      </w:r>
      <w:r w:rsidR="005E5EE4">
        <w:rPr>
          <w:rFonts w:ascii="Calibri" w:hAnsi="Calibri"/>
          <w:lang w:val="en-GB"/>
        </w:rPr>
        <w:t>ha</w:t>
      </w:r>
      <w:r w:rsidR="00DD37CB" w:rsidRPr="005E5EE4">
        <w:rPr>
          <w:rFonts w:ascii="Calibri" w:hAnsi="Calibri"/>
          <w:lang w:val="en-GB"/>
        </w:rPr>
        <w:t>s launc</w:t>
      </w:r>
      <w:r w:rsidR="005E5EE4">
        <w:rPr>
          <w:rFonts w:ascii="Calibri" w:hAnsi="Calibri"/>
          <w:lang w:val="en-GB"/>
        </w:rPr>
        <w:t>hed</w:t>
      </w:r>
      <w:r w:rsidR="00DD37CB" w:rsidRPr="005E5EE4">
        <w:rPr>
          <w:rFonts w:ascii="Calibri" w:hAnsi="Calibri"/>
          <w:lang w:val="en-GB"/>
        </w:rPr>
        <w:t xml:space="preserve"> its </w:t>
      </w:r>
      <w:r w:rsidR="005E5EE4">
        <w:rPr>
          <w:rFonts w:ascii="Calibri" w:hAnsi="Calibri"/>
          <w:lang w:val="en-GB"/>
        </w:rPr>
        <w:t xml:space="preserve">new </w:t>
      </w:r>
      <w:r w:rsidR="00DD37CB" w:rsidRPr="005E5EE4">
        <w:rPr>
          <w:rFonts w:ascii="Calibri" w:hAnsi="Calibri"/>
          <w:lang w:val="en-GB"/>
        </w:rPr>
        <w:t>CONCEPT1 single-point automatic lubricator to the UK market</w:t>
      </w:r>
      <w:r w:rsidR="009A51C2" w:rsidRPr="005E5EE4">
        <w:rPr>
          <w:rFonts w:ascii="Calibri" w:hAnsi="Calibri"/>
          <w:lang w:val="en-GB"/>
        </w:rPr>
        <w:t>.</w:t>
      </w:r>
    </w:p>
    <w:p w14:paraId="3BD56A84" w14:textId="5349803A" w:rsidR="00C24963" w:rsidRPr="005E5EE4" w:rsidRDefault="00185747" w:rsidP="009A51C2">
      <w:pPr>
        <w:spacing w:after="240"/>
        <w:rPr>
          <w:rFonts w:ascii="Calibri" w:hAnsi="Calibri"/>
          <w:lang w:val="en-GB"/>
        </w:rPr>
      </w:pPr>
      <w:r w:rsidRPr="005E5EE4">
        <w:rPr>
          <w:rFonts w:ascii="Calibri" w:hAnsi="Calibri"/>
          <w:lang w:val="en-GB"/>
        </w:rPr>
        <w:t>Engineered to ensure optimal lubrication in a broad range of industrial machines and devices – including electric motors, bearing housings, fans, blowers and pumps – CONCEPT1 eliminates the need for time-consuming manual lubrication procedures, while preventing lubrication mistakes such as over- or under-greasing, which can cause unplanned equipment downtime.</w:t>
      </w:r>
    </w:p>
    <w:p w14:paraId="768E5B9A" w14:textId="278C8F9A" w:rsidR="00CF5B32" w:rsidRPr="005E5EE4" w:rsidRDefault="00CF5B32" w:rsidP="00DD37CB">
      <w:pPr>
        <w:autoSpaceDE w:val="0"/>
        <w:autoSpaceDN w:val="0"/>
        <w:adjustRightInd w:val="0"/>
        <w:spacing w:before="120"/>
        <w:jc w:val="both"/>
        <w:rPr>
          <w:rFonts w:ascii="Calibri" w:hAnsi="Calibri"/>
          <w:lang w:val="en-GB"/>
        </w:rPr>
      </w:pPr>
      <w:r w:rsidRPr="005E5EE4">
        <w:rPr>
          <w:rFonts w:ascii="Calibri" w:hAnsi="Calibri" w:cs="Calibri"/>
          <w:lang w:val="en-GB"/>
        </w:rPr>
        <w:t>"</w:t>
      </w:r>
      <w:r w:rsidR="00185747" w:rsidRPr="005E5EE4">
        <w:rPr>
          <w:rFonts w:ascii="Calibri" w:hAnsi="Calibri" w:cs="Calibri"/>
          <w:lang w:val="en-GB"/>
        </w:rPr>
        <w:t xml:space="preserve">Approximately 60 per cent of electric motor failures can be traced </w:t>
      </w:r>
      <w:r w:rsidR="009E3268" w:rsidRPr="005E5EE4">
        <w:rPr>
          <w:rFonts w:ascii="Calibri" w:hAnsi="Calibri" w:cs="Calibri"/>
          <w:lang w:val="en-GB"/>
        </w:rPr>
        <w:t>to bearing-related problems that are typically due to lubrication issues</w:t>
      </w:r>
      <w:r w:rsidR="005E5EE4">
        <w:rPr>
          <w:rFonts w:ascii="Calibri" w:hAnsi="Calibri" w:cs="Calibri"/>
          <w:lang w:val="en-GB"/>
        </w:rPr>
        <w:t>"</w:t>
      </w:r>
      <w:r w:rsidR="009E3268" w:rsidRPr="005E5EE4">
        <w:rPr>
          <w:rFonts w:ascii="Calibri" w:hAnsi="Calibri"/>
          <w:lang w:val="en-GB"/>
        </w:rPr>
        <w:t xml:space="preserve">, says David French, Product Manager for Industry 4.0 solutions at Schaeffler. </w:t>
      </w:r>
      <w:r w:rsidR="005E5EE4">
        <w:rPr>
          <w:rFonts w:ascii="Calibri" w:hAnsi="Calibri"/>
          <w:lang w:val="en-GB"/>
        </w:rPr>
        <w:t>"</w:t>
      </w:r>
      <w:r w:rsidR="009E3268" w:rsidRPr="005E5EE4">
        <w:rPr>
          <w:rFonts w:ascii="Calibri" w:hAnsi="Calibri"/>
          <w:lang w:val="en-GB"/>
        </w:rPr>
        <w:t>Accordingly, we designed CONCEPT1 to provide our customers with a versatile and easy-to-use solution that delivers the right grease in the right quantity at just the right intervals.</w:t>
      </w:r>
      <w:r w:rsidRPr="005E5EE4">
        <w:rPr>
          <w:rFonts w:ascii="Calibri" w:hAnsi="Calibri"/>
          <w:lang w:val="en-GB"/>
        </w:rPr>
        <w:t>”</w:t>
      </w:r>
    </w:p>
    <w:p w14:paraId="33C431A0" w14:textId="5F8D9AF2" w:rsidR="009E3268" w:rsidRPr="005E5EE4" w:rsidRDefault="009E3268" w:rsidP="00DD37CB">
      <w:pPr>
        <w:autoSpaceDE w:val="0"/>
        <w:autoSpaceDN w:val="0"/>
        <w:adjustRightInd w:val="0"/>
        <w:spacing w:before="120"/>
        <w:jc w:val="both"/>
        <w:rPr>
          <w:rFonts w:ascii="Calibri" w:hAnsi="Calibri"/>
          <w:lang w:val="en-GB"/>
        </w:rPr>
      </w:pPr>
      <w:r w:rsidRPr="005E5EE4">
        <w:rPr>
          <w:rFonts w:ascii="Calibri" w:hAnsi="Calibri"/>
          <w:lang w:val="en-GB"/>
        </w:rPr>
        <w:t>CONCEPT1 uses an electromechanical reaction to precisely and continuously supply the correct amount of lubricant to rolling bearings inside electric motors and other industrial machinery. Easy to install and operate, CONCEPT1 can reduce plant maintenance costs by as much as 25% when compared to manual lubrication procedures.</w:t>
      </w:r>
    </w:p>
    <w:p w14:paraId="567E30F3" w14:textId="2CCFA9F5" w:rsidR="009E3268" w:rsidRPr="005E5EE4" w:rsidRDefault="009E3268" w:rsidP="00DD37CB">
      <w:pPr>
        <w:autoSpaceDE w:val="0"/>
        <w:autoSpaceDN w:val="0"/>
        <w:adjustRightInd w:val="0"/>
        <w:spacing w:before="120"/>
        <w:jc w:val="both"/>
        <w:rPr>
          <w:rFonts w:ascii="Calibri" w:hAnsi="Calibri"/>
          <w:lang w:val="en-GB"/>
        </w:rPr>
      </w:pPr>
      <w:r w:rsidRPr="005E5EE4">
        <w:rPr>
          <w:rFonts w:ascii="Calibri" w:hAnsi="Calibri"/>
          <w:lang w:val="en-GB"/>
        </w:rPr>
        <w:t>CONCEPT1 is available pre-filled with Schaeffler’s industry-leading range of Arcanol greases</w:t>
      </w:r>
      <w:r w:rsidR="005E5EE4">
        <w:rPr>
          <w:rFonts w:ascii="Calibri" w:hAnsi="Calibri"/>
          <w:lang w:val="en-GB"/>
        </w:rPr>
        <w:t xml:space="preserve"> or a</w:t>
      </w:r>
      <w:r w:rsidRPr="005E5EE4">
        <w:rPr>
          <w:rFonts w:ascii="Calibri" w:hAnsi="Calibri"/>
          <w:lang w:val="en-GB"/>
        </w:rPr>
        <w:t xml:space="preserve">lternatively, customers can purchase empty lubricant cartridges for CONCEPT1 and use their own grease. To reduce waste and help protect the environment, CONCEPT1 can be refilled up to three times using Schaeffler’s specially designed refill kits. </w:t>
      </w:r>
    </w:p>
    <w:p w14:paraId="049CBAF8" w14:textId="0646DC03" w:rsidR="003D15DC" w:rsidRPr="005E5EE4" w:rsidRDefault="009E3268" w:rsidP="00DD37CB">
      <w:pPr>
        <w:autoSpaceDE w:val="0"/>
        <w:autoSpaceDN w:val="0"/>
        <w:adjustRightInd w:val="0"/>
        <w:spacing w:before="120"/>
        <w:jc w:val="both"/>
        <w:rPr>
          <w:rFonts w:cstheme="minorHAnsi"/>
          <w:lang w:val="en-GB"/>
        </w:rPr>
      </w:pPr>
      <w:r w:rsidRPr="005E5EE4">
        <w:rPr>
          <w:rFonts w:ascii="Calibri" w:hAnsi="Calibri"/>
          <w:lang w:val="en-GB"/>
        </w:rPr>
        <w:lastRenderedPageBreak/>
        <w:t xml:space="preserve">Sally Sillis, Schaeffler Technology Centre Manager at Schaeffler UK commented: </w:t>
      </w:r>
      <w:r w:rsidRPr="005E5EE4">
        <w:rPr>
          <w:rFonts w:ascii="Calibri" w:hAnsi="Calibri" w:cs="Calibri"/>
          <w:lang w:val="en-GB"/>
        </w:rPr>
        <w:t>"</w:t>
      </w:r>
      <w:r w:rsidR="005E5EE4" w:rsidRPr="007139FE">
        <w:rPr>
          <w:rFonts w:cstheme="minorHAnsi"/>
          <w:color w:val="000000" w:themeColor="text1"/>
          <w:lang w:val="en-GB"/>
        </w:rPr>
        <w:t>Approximately</w:t>
      </w:r>
      <w:r w:rsidR="003D15DC" w:rsidRPr="007139FE">
        <w:rPr>
          <w:rFonts w:cstheme="minorHAnsi"/>
          <w:color w:val="000000" w:themeColor="text1"/>
          <w:lang w:val="en-GB"/>
        </w:rPr>
        <w:t xml:space="preserve"> </w:t>
      </w:r>
      <w:r w:rsidR="005E5EE4" w:rsidRPr="007139FE">
        <w:rPr>
          <w:rFonts w:cstheme="minorHAnsi"/>
          <w:color w:val="000000" w:themeColor="text1"/>
          <w:lang w:val="en-GB"/>
        </w:rPr>
        <w:t>7</w:t>
      </w:r>
      <w:r w:rsidR="003D15DC" w:rsidRPr="007139FE">
        <w:rPr>
          <w:rFonts w:cstheme="minorHAnsi"/>
          <w:color w:val="000000" w:themeColor="text1"/>
          <w:lang w:val="en-GB"/>
        </w:rPr>
        <w:t xml:space="preserve">0% </w:t>
      </w:r>
      <w:r w:rsidR="003D15DC" w:rsidRPr="005E5EE4">
        <w:rPr>
          <w:rFonts w:cstheme="minorHAnsi"/>
          <w:lang w:val="en-GB"/>
        </w:rPr>
        <w:t>of all bearing damage is caused by insufficient or incorrect lubrication</w:t>
      </w:r>
      <w:r w:rsidR="005E5EE4">
        <w:rPr>
          <w:rFonts w:cstheme="minorHAnsi"/>
          <w:lang w:val="en-GB"/>
        </w:rPr>
        <w:t xml:space="preserve"> which </w:t>
      </w:r>
      <w:r w:rsidR="003D15DC" w:rsidRPr="005E5EE4">
        <w:rPr>
          <w:rFonts w:cstheme="minorHAnsi"/>
          <w:lang w:val="en-GB"/>
        </w:rPr>
        <w:t xml:space="preserve">can result in </w:t>
      </w:r>
      <w:r w:rsidR="005E5EE4">
        <w:rPr>
          <w:rFonts w:cstheme="minorHAnsi"/>
          <w:lang w:val="en-GB"/>
        </w:rPr>
        <w:t>expensive down-time and repair costs</w:t>
      </w:r>
      <w:r w:rsidR="003D15DC" w:rsidRPr="005E5EE4">
        <w:rPr>
          <w:rFonts w:cstheme="minorHAnsi"/>
          <w:lang w:val="en-GB"/>
        </w:rPr>
        <w:t xml:space="preserve">. This kind of damage can be prevented by using automatic lubricators such as the </w:t>
      </w:r>
      <w:r w:rsidR="00B53FE9" w:rsidRPr="005E5EE4">
        <w:rPr>
          <w:rFonts w:cstheme="minorHAnsi"/>
          <w:lang w:val="en-GB"/>
        </w:rPr>
        <w:t>CONCEPT1</w:t>
      </w:r>
      <w:r w:rsidR="003D15DC" w:rsidRPr="005E5EE4">
        <w:rPr>
          <w:rFonts w:cstheme="minorHAnsi"/>
          <w:lang w:val="en-GB"/>
        </w:rPr>
        <w:t>.”</w:t>
      </w:r>
    </w:p>
    <w:p w14:paraId="5670E28C" w14:textId="63E48A4E" w:rsidR="00B53FE9" w:rsidRPr="005E5EE4" w:rsidRDefault="00B53FE9" w:rsidP="00B53FE9">
      <w:pPr>
        <w:autoSpaceDE w:val="0"/>
        <w:autoSpaceDN w:val="0"/>
        <w:adjustRightInd w:val="0"/>
        <w:spacing w:before="120"/>
        <w:rPr>
          <w:rFonts w:cstheme="minorHAnsi"/>
          <w:lang w:val="en-GB"/>
        </w:rPr>
      </w:pPr>
      <w:r w:rsidRPr="005E5EE4">
        <w:rPr>
          <w:rFonts w:cstheme="minorHAnsi"/>
          <w:lang w:val="en-GB"/>
        </w:rPr>
        <w:t xml:space="preserve">"CONCEPT1 </w:t>
      </w:r>
      <w:r w:rsidR="00C02049" w:rsidRPr="005E5EE4">
        <w:rPr>
          <w:rFonts w:cstheme="minorHAnsi"/>
          <w:lang w:val="en-GB"/>
        </w:rPr>
        <w:t>is particularly useful when</w:t>
      </w:r>
      <w:r w:rsidRPr="005E5EE4">
        <w:rPr>
          <w:rFonts w:cstheme="minorHAnsi"/>
          <w:lang w:val="en-GB"/>
        </w:rPr>
        <w:t xml:space="preserve"> machines</w:t>
      </w:r>
      <w:r w:rsidR="00C02049" w:rsidRPr="005E5EE4">
        <w:rPr>
          <w:rFonts w:cstheme="minorHAnsi"/>
          <w:lang w:val="en-GB"/>
        </w:rPr>
        <w:t xml:space="preserve"> or motors</w:t>
      </w:r>
      <w:r w:rsidRPr="005E5EE4">
        <w:rPr>
          <w:rFonts w:cstheme="minorHAnsi"/>
          <w:lang w:val="en-GB"/>
        </w:rPr>
        <w:t xml:space="preserve"> are located in difficult-to-access areas or are deemed as critical to </w:t>
      </w:r>
      <w:r w:rsidR="00C02049" w:rsidRPr="005E5EE4">
        <w:rPr>
          <w:rFonts w:cstheme="minorHAnsi"/>
          <w:lang w:val="en-GB"/>
        </w:rPr>
        <w:t xml:space="preserve">the </w:t>
      </w:r>
      <w:r w:rsidRPr="005E5EE4">
        <w:rPr>
          <w:rFonts w:cstheme="minorHAnsi"/>
          <w:lang w:val="en-GB"/>
        </w:rPr>
        <w:t>production</w:t>
      </w:r>
      <w:r w:rsidR="00C02049" w:rsidRPr="005E5EE4">
        <w:rPr>
          <w:rFonts w:cstheme="minorHAnsi"/>
          <w:lang w:val="en-GB"/>
        </w:rPr>
        <w:t xml:space="preserve"> process</w:t>
      </w:r>
      <w:r w:rsidRPr="005E5EE4">
        <w:rPr>
          <w:rFonts w:cstheme="minorHAnsi"/>
          <w:lang w:val="en-GB"/>
        </w:rPr>
        <w:t xml:space="preserve">. The system is </w:t>
      </w:r>
      <w:r w:rsidR="00C02049" w:rsidRPr="005E5EE4">
        <w:rPr>
          <w:rFonts w:cstheme="minorHAnsi"/>
          <w:lang w:val="en-GB"/>
        </w:rPr>
        <w:t xml:space="preserve">also </w:t>
      </w:r>
      <w:r w:rsidRPr="005E5EE4">
        <w:rPr>
          <w:rFonts w:cstheme="minorHAnsi"/>
          <w:lang w:val="en-GB"/>
        </w:rPr>
        <w:t>suitable for both OEM applications and retrofitting to existing machines or equipment.</w:t>
      </w:r>
      <w:r w:rsidR="00563369" w:rsidRPr="005E5EE4">
        <w:rPr>
          <w:rFonts w:cstheme="minorHAnsi"/>
          <w:lang w:val="en-GB"/>
        </w:rPr>
        <w:t>"</w:t>
      </w:r>
    </w:p>
    <w:p w14:paraId="3EBA871C" w14:textId="703E2EE7" w:rsidR="0000471F" w:rsidRPr="005E5EE4" w:rsidRDefault="0000471F" w:rsidP="0000471F">
      <w:pPr>
        <w:autoSpaceDE w:val="0"/>
        <w:autoSpaceDN w:val="0"/>
        <w:adjustRightInd w:val="0"/>
        <w:spacing w:before="120"/>
        <w:jc w:val="both"/>
        <w:rPr>
          <w:rFonts w:ascii="Calibri" w:hAnsi="Calibri" w:cs="Calibri"/>
          <w:b/>
          <w:lang w:val="en-GB"/>
        </w:rPr>
      </w:pPr>
      <w:r w:rsidRPr="005E5EE4">
        <w:rPr>
          <w:rFonts w:ascii="Calibri" w:hAnsi="Calibri" w:cs="Calibri"/>
          <w:lang w:val="en-GB"/>
        </w:rPr>
        <w:t>For more information</w:t>
      </w:r>
      <w:r w:rsidR="00DD37CB" w:rsidRPr="005E5EE4">
        <w:rPr>
          <w:rFonts w:ascii="Calibri" w:hAnsi="Calibri" w:cs="Calibri"/>
          <w:lang w:val="en-GB"/>
        </w:rPr>
        <w:t xml:space="preserve"> on CONCEPT1</w:t>
      </w:r>
      <w:r w:rsidRPr="005E5EE4">
        <w:rPr>
          <w:rFonts w:ascii="Calibri" w:hAnsi="Calibri" w:cs="Calibri"/>
          <w:lang w:val="en-GB"/>
        </w:rPr>
        <w:t xml:space="preserve">, please contact Schaeffler UK’s Communications &amp; Branding Department on </w:t>
      </w:r>
      <w:hyperlink r:id="rId8" w:history="1">
        <w:r>
          <w:rPr>
            <w:rStyle w:val="Hyperlink"/>
            <w:rFonts w:ascii="Calibri" w:hAnsi="Calibri"/>
            <w:u w:val="single"/>
          </w:rPr>
          <w:t>info.uk@schaeffler.com</w:t>
        </w:r>
      </w:hyperlink>
    </w:p>
    <w:p w14:paraId="786332A5" w14:textId="77777777" w:rsidR="0000471F" w:rsidRPr="005E5EE4" w:rsidRDefault="0000471F" w:rsidP="0000471F">
      <w:pPr>
        <w:autoSpaceDE w:val="0"/>
        <w:autoSpaceDN w:val="0"/>
        <w:adjustRightInd w:val="0"/>
        <w:spacing w:before="120"/>
        <w:jc w:val="both"/>
        <w:rPr>
          <w:rFonts w:ascii="Calibri" w:hAnsi="Calibri" w:cs="Calibri"/>
          <w:b/>
          <w:lang w:val="en-GB"/>
        </w:rPr>
      </w:pPr>
    </w:p>
    <w:p w14:paraId="77D98844" w14:textId="076DCF89" w:rsidR="00EE0187" w:rsidRDefault="00DD37CB" w:rsidP="0000471F">
      <w:r>
        <w:rPr>
          <w:noProof/>
        </w:rPr>
        <w:drawing>
          <wp:inline distT="0" distB="0" distL="0" distR="0" wp14:anchorId="346E99A4" wp14:editId="7DA90653">
            <wp:extent cx="2308860" cy="2971800"/>
            <wp:effectExtent l="0" t="0" r="0" b="0"/>
            <wp:docPr id="8" name="Picture 8" descr="A picture containing indoor, sitting, tabl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sitting, table, g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9109" cy="2972121"/>
                    </a:xfrm>
                    <a:prstGeom prst="rect">
                      <a:avLst/>
                    </a:prstGeom>
                  </pic:spPr>
                </pic:pic>
              </a:graphicData>
            </a:graphic>
          </wp:inline>
        </w:drawing>
      </w:r>
      <w:r>
        <w:rPr>
          <w:noProof/>
        </w:rPr>
        <w:drawing>
          <wp:inline distT="0" distB="0" distL="0" distR="0" wp14:anchorId="1ABF7FC8" wp14:editId="449D4DAF">
            <wp:extent cx="2339340" cy="2354580"/>
            <wp:effectExtent l="0" t="0" r="3810" b="762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devi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277" cy="2358543"/>
                    </a:xfrm>
                    <a:prstGeom prst="rect">
                      <a:avLst/>
                    </a:prstGeom>
                  </pic:spPr>
                </pic:pic>
              </a:graphicData>
            </a:graphic>
          </wp:inline>
        </w:drawing>
      </w:r>
    </w:p>
    <w:p w14:paraId="21269181" w14:textId="16143D8E" w:rsidR="0000471F" w:rsidRPr="005E5EE4" w:rsidRDefault="007C073B" w:rsidP="00474261">
      <w:pPr>
        <w:spacing w:after="100" w:afterAutospacing="1" w:line="240" w:lineRule="auto"/>
        <w:rPr>
          <w:rFonts w:ascii="Calibri" w:hAnsi="Calibri" w:cs="Calibri"/>
          <w:i/>
          <w:color w:val="000000"/>
          <w:sz w:val="20"/>
          <w:szCs w:val="20"/>
          <w:lang w:val="en-GB"/>
        </w:rPr>
      </w:pPr>
      <w:r w:rsidRPr="005E5EE4">
        <w:rPr>
          <w:rFonts w:ascii="Calibri" w:hAnsi="Calibri"/>
          <w:i/>
          <w:sz w:val="20"/>
          <w:szCs w:val="20"/>
          <w:lang w:val="en-GB"/>
        </w:rPr>
        <w:t xml:space="preserve">The </w:t>
      </w:r>
      <w:r w:rsidR="00DD37CB" w:rsidRPr="005E5EE4">
        <w:rPr>
          <w:rFonts w:ascii="Calibri" w:hAnsi="Calibri"/>
          <w:i/>
          <w:sz w:val="20"/>
          <w:szCs w:val="20"/>
          <w:lang w:val="en-GB"/>
        </w:rPr>
        <w:t>CONCEPT1 single-point automatic lubricator (front and cutaway views)</w:t>
      </w:r>
      <w:r w:rsidR="0000471F" w:rsidRPr="005E5EE4">
        <w:rPr>
          <w:rFonts w:ascii="Calibri" w:hAnsi="Calibri"/>
          <w:i/>
          <w:sz w:val="20"/>
          <w:szCs w:val="20"/>
          <w:lang w:val="en-GB"/>
        </w:rPr>
        <w:t>.</w:t>
      </w:r>
    </w:p>
    <w:p w14:paraId="4B3FB573" w14:textId="69309CFB" w:rsidR="006A488F" w:rsidRDefault="00DD37CB" w:rsidP="0000471F">
      <w:pPr>
        <w:spacing w:before="120"/>
        <w:rPr>
          <w:rFonts w:ascii="Calibri" w:hAnsi="Calibri"/>
          <w:i/>
          <w:sz w:val="20"/>
          <w:szCs w:val="20"/>
        </w:rPr>
      </w:pPr>
      <w:r>
        <w:rPr>
          <w:rFonts w:ascii="Calibri" w:hAnsi="Calibri"/>
          <w:i/>
          <w:noProof/>
          <w:sz w:val="20"/>
          <w:szCs w:val="20"/>
        </w:rPr>
        <w:lastRenderedPageBreak/>
        <w:drawing>
          <wp:inline distT="0" distB="0" distL="0" distR="0" wp14:anchorId="09034A70" wp14:editId="3236DEAE">
            <wp:extent cx="3268980" cy="2941320"/>
            <wp:effectExtent l="0" t="0" r="7620" b="0"/>
            <wp:docPr id="13" name="Picture 13" descr="A picture containing appliance, sitting, tabl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ppliance, sitting, table,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69587" cy="2941866"/>
                    </a:xfrm>
                    <a:prstGeom prst="rect">
                      <a:avLst/>
                    </a:prstGeom>
                  </pic:spPr>
                </pic:pic>
              </a:graphicData>
            </a:graphic>
          </wp:inline>
        </w:drawing>
      </w:r>
    </w:p>
    <w:p w14:paraId="60416E0B" w14:textId="15B54A15" w:rsidR="00DD37CB" w:rsidRPr="005E5EE4" w:rsidRDefault="00DD37CB" w:rsidP="0000471F">
      <w:pPr>
        <w:spacing w:before="120"/>
        <w:rPr>
          <w:rFonts w:ascii="Calibri" w:hAnsi="Calibri"/>
          <w:i/>
          <w:sz w:val="20"/>
          <w:szCs w:val="20"/>
          <w:lang w:val="en-GB"/>
        </w:rPr>
      </w:pPr>
      <w:r w:rsidRPr="005E5EE4">
        <w:rPr>
          <w:rFonts w:ascii="Calibri" w:hAnsi="Calibri"/>
          <w:i/>
          <w:sz w:val="20"/>
          <w:szCs w:val="20"/>
          <w:lang w:val="en-GB"/>
        </w:rPr>
        <w:t xml:space="preserve">CONCEPT1 </w:t>
      </w:r>
      <w:r w:rsidR="009A2658" w:rsidRPr="005E5EE4">
        <w:rPr>
          <w:rFonts w:ascii="Calibri" w:hAnsi="Calibri"/>
          <w:i/>
          <w:sz w:val="20"/>
          <w:szCs w:val="20"/>
          <w:lang w:val="en-GB"/>
        </w:rPr>
        <w:t>is engineered to ensure optimal lubrication of electric motors and other industrial machines</w:t>
      </w:r>
      <w:r w:rsidRPr="005E5EE4">
        <w:rPr>
          <w:rFonts w:ascii="Calibri" w:hAnsi="Calibri"/>
          <w:i/>
          <w:sz w:val="20"/>
          <w:szCs w:val="20"/>
          <w:lang w:val="en-GB"/>
        </w:rPr>
        <w:t>.</w:t>
      </w:r>
    </w:p>
    <w:p w14:paraId="6AD08C57" w14:textId="77777777" w:rsidR="0000471F" w:rsidRDefault="0000471F" w:rsidP="0000471F">
      <w:r>
        <w:t>Photos: Schaeffler</w:t>
      </w:r>
    </w:p>
    <w:tbl>
      <w:tblPr>
        <w:tblStyle w:val="TableGrid"/>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8535BD" w:rsidRPr="00B00195" w14:paraId="162D5BE3" w14:textId="77777777" w:rsidTr="00C24963">
        <w:trPr>
          <w:trHeight w:hRule="exact" w:val="340"/>
        </w:trPr>
        <w:tc>
          <w:tcPr>
            <w:tcW w:w="7370" w:type="dxa"/>
            <w:tcBorders>
              <w:bottom w:val="single" w:sz="2" w:space="0" w:color="646464"/>
            </w:tcBorders>
          </w:tcPr>
          <w:p w14:paraId="6CFBE281" w14:textId="77777777" w:rsidR="008535BD" w:rsidRPr="00B00195" w:rsidRDefault="008535BD" w:rsidP="00C24963"/>
        </w:tc>
      </w:tr>
      <w:tr w:rsidR="008535BD" w:rsidRPr="00B00195" w14:paraId="36C84A15" w14:textId="77777777" w:rsidTr="00C24963">
        <w:trPr>
          <w:trHeight w:hRule="exact" w:val="340"/>
        </w:trPr>
        <w:tc>
          <w:tcPr>
            <w:tcW w:w="7370" w:type="dxa"/>
            <w:tcBorders>
              <w:top w:val="single" w:sz="2" w:space="0" w:color="646464"/>
            </w:tcBorders>
          </w:tcPr>
          <w:p w14:paraId="652AD207" w14:textId="77777777" w:rsidR="008535BD" w:rsidRPr="00B00195" w:rsidRDefault="008535BD" w:rsidP="00C24963"/>
        </w:tc>
      </w:tr>
    </w:tbl>
    <w:p w14:paraId="0FBAA518" w14:textId="77777777" w:rsidR="00563369" w:rsidRPr="004E0E2A" w:rsidRDefault="00563369" w:rsidP="00563369">
      <w:pPr>
        <w:pStyle w:val="Hinweisfett"/>
        <w:jc w:val="both"/>
        <w:rPr>
          <w:rFonts w:asciiTheme="minorHAnsi" w:hAnsiTheme="minorHAnsi" w:cstheme="minorHAnsi"/>
          <w:color w:val="4A4A49"/>
          <w:szCs w:val="16"/>
        </w:rPr>
      </w:pPr>
      <w:bookmarkStart w:id="2" w:name="_Hlk31817536"/>
      <w:r w:rsidRPr="004E0E2A">
        <w:rPr>
          <w:rFonts w:asciiTheme="minorHAnsi" w:hAnsiTheme="minorHAnsi" w:cstheme="minorHAnsi"/>
          <w:color w:val="4A4A49"/>
          <w:szCs w:val="16"/>
        </w:rPr>
        <w:t>Schaeffler Group – We pioneer motion</w:t>
      </w:r>
    </w:p>
    <w:p w14:paraId="6830C451" w14:textId="065C3ABA" w:rsidR="008535BD" w:rsidRPr="007A5B42" w:rsidRDefault="00563369" w:rsidP="00563369">
      <w:pPr>
        <w:pStyle w:val="Hinweis"/>
      </w:pPr>
      <w:r w:rsidRPr="004E0E2A">
        <w:rPr>
          <w:rFonts w:asciiTheme="minorHAnsi" w:hAnsiTheme="minorHAnsi" w:cstheme="minorHAnsi"/>
          <w:szCs w:val="16"/>
        </w:rPr>
        <w:t>As a leading global supplier to the automotive and industrial sectors, the Schaeffler Group has been driving forward groundbreaking inventions and developments in the fields of motion and mobility for over 70 years. With innovative technologies, products, and services for CO₂-efficient drives, electric mobility, Industry 4.0, digitalization, and renewable energies, the company is a reliable partner for making motion and mobility more efficient, intelligent, and sustainable. The technology company manufactures high-precision components and systems for drive train and chassis applications as well as rolling and plain bearing solutions for a large number of industrial applications. The Schaeffler Group generated sales of approximately EUR 14.4 billion in 2019. With around 84,200 employees, Schaeffler is one of the world’s largest family companies. With almost 2,400 patent applications in 2019, Schaeffler is Germany’s second most innovative company according to the DPMA (German Patent and Trademark Office).</w:t>
      </w:r>
    </w:p>
    <w:bookmarkEnd w:id="2"/>
    <w:tbl>
      <w:tblPr>
        <w:tblStyle w:val="TableGrid"/>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0"/>
      </w:tblGrid>
      <w:tr w:rsidR="008535BD" w:rsidRPr="005E5EE4" w14:paraId="33FBCC46" w14:textId="77777777" w:rsidTr="00C24963">
        <w:trPr>
          <w:trHeight w:hRule="exact" w:val="340"/>
        </w:trPr>
        <w:tc>
          <w:tcPr>
            <w:tcW w:w="7370" w:type="dxa"/>
            <w:tcBorders>
              <w:bottom w:val="single" w:sz="2" w:space="0" w:color="646464"/>
            </w:tcBorders>
          </w:tcPr>
          <w:p w14:paraId="31E83310" w14:textId="77777777" w:rsidR="008535BD" w:rsidRPr="005E5EE4" w:rsidRDefault="008535BD" w:rsidP="00C24963">
            <w:pPr>
              <w:rPr>
                <w:lang w:val="en-GB"/>
              </w:rPr>
            </w:pPr>
          </w:p>
        </w:tc>
      </w:tr>
      <w:tr w:rsidR="008535BD" w:rsidRPr="005E5EE4" w14:paraId="144B1413" w14:textId="77777777" w:rsidTr="00C24963">
        <w:trPr>
          <w:trHeight w:hRule="exact" w:val="340"/>
        </w:trPr>
        <w:tc>
          <w:tcPr>
            <w:tcW w:w="7370" w:type="dxa"/>
            <w:tcBorders>
              <w:top w:val="single" w:sz="2" w:space="0" w:color="646464"/>
            </w:tcBorders>
          </w:tcPr>
          <w:p w14:paraId="5DD85CA4" w14:textId="77777777" w:rsidR="008535BD" w:rsidRPr="005E5EE4" w:rsidRDefault="008535BD" w:rsidP="00C24963">
            <w:pPr>
              <w:rPr>
                <w:lang w:val="en-GB"/>
              </w:rPr>
            </w:pPr>
          </w:p>
          <w:p w14:paraId="5066D6CB" w14:textId="77777777" w:rsidR="008535BD" w:rsidRPr="005E5EE4" w:rsidRDefault="008535BD" w:rsidP="00C24963">
            <w:pPr>
              <w:rPr>
                <w:lang w:val="en-GB"/>
              </w:rPr>
            </w:pPr>
          </w:p>
        </w:tc>
      </w:tr>
    </w:tbl>
    <w:p w14:paraId="05CD1B99" w14:textId="77777777" w:rsidR="008535BD" w:rsidRPr="00443614" w:rsidRDefault="008535BD" w:rsidP="008535BD">
      <w:pPr>
        <w:pStyle w:val="NormalWeb"/>
        <w:spacing w:before="0" w:beforeAutospacing="0" w:after="0" w:afterAutospacing="0"/>
        <w:jc w:val="both"/>
        <w:rPr>
          <w:rFonts w:ascii="Calibri" w:hAnsi="Calibri" w:cs="Calibri"/>
          <w:b/>
          <w:bCs/>
          <w:sz w:val="22"/>
          <w:szCs w:val="22"/>
        </w:rPr>
      </w:pPr>
      <w:r w:rsidRPr="00443614">
        <w:rPr>
          <w:rFonts w:ascii="Calibri" w:hAnsi="Calibri" w:cs="Calibri"/>
          <w:b/>
          <w:bCs/>
          <w:sz w:val="22"/>
          <w:szCs w:val="22"/>
        </w:rPr>
        <w:t>Contact</w:t>
      </w:r>
    </w:p>
    <w:p w14:paraId="28A86A24" w14:textId="77777777" w:rsidR="008535BD" w:rsidRPr="00443614" w:rsidRDefault="008535BD" w:rsidP="008535BD">
      <w:pPr>
        <w:pStyle w:val="NormalWeb"/>
        <w:spacing w:before="0" w:beforeAutospacing="0" w:after="0" w:afterAutospacing="0"/>
        <w:jc w:val="both"/>
        <w:rPr>
          <w:rFonts w:ascii="Calibri" w:hAnsi="Calibri" w:cs="Calibri"/>
          <w:b/>
          <w:bCs/>
          <w:sz w:val="22"/>
          <w:szCs w:val="22"/>
        </w:rPr>
      </w:pPr>
    </w:p>
    <w:p w14:paraId="5FFCAB56" w14:textId="77777777" w:rsidR="008535BD" w:rsidRPr="00443614" w:rsidRDefault="008535BD" w:rsidP="008535BD">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Laura McKenzie</w:t>
      </w:r>
    </w:p>
    <w:p w14:paraId="7B45EE49" w14:textId="77777777" w:rsidR="008535BD" w:rsidRPr="00443614" w:rsidRDefault="008535BD" w:rsidP="008535BD">
      <w:pPr>
        <w:pStyle w:val="NormalWeb"/>
        <w:spacing w:before="0" w:beforeAutospacing="0" w:after="0" w:afterAutospacing="0"/>
        <w:jc w:val="both"/>
        <w:rPr>
          <w:rFonts w:ascii="Calibri" w:hAnsi="Calibri" w:cs="Calibri"/>
          <w:sz w:val="22"/>
          <w:szCs w:val="22"/>
        </w:rPr>
      </w:pPr>
      <w:r>
        <w:rPr>
          <w:rFonts w:ascii="Calibri" w:hAnsi="Calibri" w:cs="Calibri"/>
          <w:sz w:val="22"/>
          <w:szCs w:val="22"/>
        </w:rPr>
        <w:t>UK Communications &amp; Branding Manager</w:t>
      </w:r>
    </w:p>
    <w:p w14:paraId="44D363E0" w14:textId="77777777" w:rsidR="008535BD" w:rsidRDefault="008535BD" w:rsidP="008535BD">
      <w:pPr>
        <w:pStyle w:val="NormalWeb"/>
        <w:spacing w:before="0" w:beforeAutospacing="0" w:after="0" w:afterAutospacing="0"/>
        <w:jc w:val="both"/>
        <w:rPr>
          <w:rFonts w:ascii="Calibri" w:hAnsi="Calibri" w:cs="Calibri"/>
          <w:sz w:val="22"/>
          <w:szCs w:val="22"/>
        </w:rPr>
      </w:pPr>
      <w:r>
        <w:rPr>
          <w:rFonts w:ascii="Calibri" w:hAnsi="Calibri" w:cs="Calibri"/>
          <w:sz w:val="22"/>
          <w:szCs w:val="22"/>
        </w:rPr>
        <w:t>Schaeffler (UK) Ltd</w:t>
      </w:r>
    </w:p>
    <w:p w14:paraId="7CAB5DDD" w14:textId="77777777" w:rsidR="008535BD" w:rsidRDefault="008535BD" w:rsidP="008535BD">
      <w:pPr>
        <w:pStyle w:val="NormalWeb"/>
        <w:spacing w:before="0" w:beforeAutospacing="0" w:after="0" w:afterAutospacing="0"/>
        <w:jc w:val="both"/>
        <w:rPr>
          <w:rFonts w:ascii="Calibri" w:hAnsi="Calibri" w:cs="Calibri"/>
          <w:sz w:val="22"/>
          <w:szCs w:val="22"/>
        </w:rPr>
      </w:pPr>
      <w:r>
        <w:rPr>
          <w:rFonts w:ascii="Calibri" w:hAnsi="Calibri" w:cs="Calibri"/>
          <w:sz w:val="22"/>
          <w:szCs w:val="22"/>
        </w:rPr>
        <w:t>Unit 308, Fort Dunlop</w:t>
      </w:r>
    </w:p>
    <w:p w14:paraId="553CF127" w14:textId="77777777" w:rsidR="008535BD" w:rsidRDefault="008535BD" w:rsidP="008535BD">
      <w:pPr>
        <w:pStyle w:val="NormalWeb"/>
        <w:spacing w:before="0" w:beforeAutospacing="0" w:after="0" w:afterAutospacing="0"/>
        <w:jc w:val="both"/>
        <w:rPr>
          <w:rFonts w:ascii="Calibri" w:hAnsi="Calibri" w:cs="Calibri"/>
          <w:sz w:val="22"/>
          <w:szCs w:val="22"/>
        </w:rPr>
      </w:pPr>
      <w:r>
        <w:rPr>
          <w:rFonts w:ascii="Calibri" w:hAnsi="Calibri" w:cs="Calibri"/>
          <w:sz w:val="22"/>
          <w:szCs w:val="22"/>
        </w:rPr>
        <w:t>Fort Parkway</w:t>
      </w:r>
    </w:p>
    <w:p w14:paraId="1DFC4767" w14:textId="77777777" w:rsidR="008535BD" w:rsidRDefault="008535BD" w:rsidP="008535BD">
      <w:pPr>
        <w:pStyle w:val="NormalWeb"/>
        <w:spacing w:before="0" w:beforeAutospacing="0" w:after="0" w:afterAutospacing="0"/>
        <w:jc w:val="both"/>
        <w:rPr>
          <w:rFonts w:ascii="Calibri" w:hAnsi="Calibri" w:cs="Calibri"/>
          <w:sz w:val="22"/>
          <w:szCs w:val="22"/>
        </w:rPr>
      </w:pPr>
      <w:r>
        <w:rPr>
          <w:rFonts w:ascii="Calibri" w:hAnsi="Calibri" w:cs="Calibri"/>
          <w:sz w:val="22"/>
          <w:szCs w:val="22"/>
        </w:rPr>
        <w:t>Birmingham</w:t>
      </w:r>
    </w:p>
    <w:p w14:paraId="724BF2E9" w14:textId="77777777" w:rsidR="008535BD" w:rsidRPr="006C6CE7" w:rsidRDefault="008535BD" w:rsidP="008535BD">
      <w:pPr>
        <w:pStyle w:val="NormalWeb"/>
        <w:spacing w:before="0" w:beforeAutospacing="0" w:after="0" w:afterAutospacing="0"/>
        <w:jc w:val="both"/>
        <w:rPr>
          <w:rFonts w:ascii="Calibri" w:hAnsi="Calibri" w:cs="Calibri"/>
          <w:noProof/>
          <w:sz w:val="22"/>
          <w:szCs w:val="22"/>
          <w:lang w:eastAsia="de-DE"/>
        </w:rPr>
      </w:pPr>
      <w:r>
        <w:rPr>
          <w:rFonts w:ascii="Calibri" w:hAnsi="Calibri" w:cs="Calibri"/>
          <w:sz w:val="22"/>
          <w:szCs w:val="22"/>
        </w:rPr>
        <w:t>B24 9FD</w:t>
      </w:r>
    </w:p>
    <w:p w14:paraId="66B2D332" w14:textId="77777777" w:rsidR="008535BD" w:rsidRPr="006C6CE7" w:rsidRDefault="008535BD" w:rsidP="008535BD">
      <w:pPr>
        <w:pStyle w:val="NormalWeb"/>
        <w:spacing w:before="0" w:beforeAutospacing="0" w:after="0" w:afterAutospacing="0"/>
        <w:jc w:val="both"/>
        <w:rPr>
          <w:rFonts w:ascii="Calibri" w:hAnsi="Calibri" w:cs="Calibri"/>
          <w:noProof/>
          <w:sz w:val="22"/>
          <w:szCs w:val="22"/>
          <w:lang w:eastAsia="de-DE"/>
        </w:rPr>
      </w:pPr>
      <w:r w:rsidRPr="003853DD">
        <w:rPr>
          <w:noProof/>
          <w:lang w:eastAsia="de-DE"/>
        </w:rPr>
        <w:drawing>
          <wp:inline distT="0" distB="0" distL="0" distR="0" wp14:anchorId="578F7553" wp14:editId="3594E0F2">
            <wp:extent cx="134620" cy="939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 cy="93980"/>
                    </a:xfrm>
                    <a:prstGeom prst="rect">
                      <a:avLst/>
                    </a:prstGeom>
                    <a:noFill/>
                    <a:ln>
                      <a:noFill/>
                    </a:ln>
                  </pic:spPr>
                </pic:pic>
              </a:graphicData>
            </a:graphic>
          </wp:inline>
        </w:drawing>
      </w:r>
      <w:r>
        <w:rPr>
          <w:noProof/>
          <w:lang w:eastAsia="de-DE"/>
        </w:rPr>
        <w:t xml:space="preserve"> </w:t>
      </w:r>
      <w:hyperlink r:id="rId13" w:history="1">
        <w:r w:rsidRPr="001F5A98">
          <w:rPr>
            <w:rStyle w:val="Hyperlink"/>
            <w:rFonts w:ascii="Calibri" w:hAnsi="Calibri" w:cs="Calibri"/>
            <w:b/>
            <w:bCs/>
            <w:noProof/>
            <w:szCs w:val="22"/>
            <w:lang w:eastAsia="de-DE"/>
          </w:rPr>
          <w:t>laura.mckenzie@schaeffler.com</w:t>
        </w:r>
      </w:hyperlink>
    </w:p>
    <w:p w14:paraId="755D1D6C" w14:textId="77777777" w:rsidR="008535BD" w:rsidRPr="006C6CE7" w:rsidRDefault="008535BD" w:rsidP="008535BD">
      <w:pPr>
        <w:pStyle w:val="NormalWeb"/>
        <w:spacing w:before="0" w:beforeAutospacing="0" w:after="0" w:afterAutospacing="0"/>
        <w:jc w:val="both"/>
        <w:rPr>
          <w:rFonts w:ascii="Calibri" w:hAnsi="Calibri" w:cs="Calibri"/>
          <w:sz w:val="22"/>
          <w:szCs w:val="22"/>
        </w:rPr>
      </w:pPr>
    </w:p>
    <w:p w14:paraId="103EA688" w14:textId="77777777" w:rsidR="008535BD" w:rsidRPr="006C6CE7" w:rsidRDefault="008535BD" w:rsidP="008535BD">
      <w:pPr>
        <w:pStyle w:val="NormalWeb"/>
        <w:spacing w:before="0" w:beforeAutospacing="0" w:after="0" w:afterAutospacing="0"/>
        <w:jc w:val="both"/>
        <w:rPr>
          <w:rFonts w:ascii="Calibri" w:hAnsi="Calibri" w:cs="Calibri"/>
          <w:sz w:val="22"/>
          <w:szCs w:val="22"/>
        </w:rPr>
      </w:pPr>
      <w:r w:rsidRPr="00D12B09">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2B867E0E" wp14:editId="619EA644">
                <wp:simplePos x="0" y="0"/>
                <wp:positionH relativeFrom="column">
                  <wp:posOffset>14605</wp:posOffset>
                </wp:positionH>
                <wp:positionV relativeFrom="paragraph">
                  <wp:posOffset>73660</wp:posOffset>
                </wp:positionV>
                <wp:extent cx="5036185" cy="0"/>
                <wp:effectExtent l="10795" t="13335" r="10795" b="57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6185" cy="0"/>
                        </a:xfrm>
                        <a:prstGeom prst="straightConnector1">
                          <a:avLst/>
                        </a:prstGeom>
                        <a:noFill/>
                        <a:ln w="317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3CD466" id="_x0000_t32" coordsize="21600,21600" o:spt="32" o:oned="t" path="m,l21600,21600e" filled="f">
                <v:path arrowok="t" fillok="f" o:connecttype="none"/>
                <o:lock v:ext="edit" shapetype="t"/>
              </v:shapetype>
              <v:shape id="Straight Arrow Connector 15" o:spid="_x0000_s1026" type="#_x0000_t32" style="position:absolute;margin-left:1.15pt;margin-top:5.8pt;width:396.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" strokecolor="#7f7f7f" strokeweight=".25pt"/>
            </w:pict>
          </mc:Fallback>
        </mc:AlternateContent>
      </w:r>
    </w:p>
    <w:p w14:paraId="4E877145" w14:textId="77777777" w:rsidR="008535BD" w:rsidRPr="006C6CE7" w:rsidRDefault="008535BD" w:rsidP="008535BD">
      <w:pPr>
        <w:pStyle w:val="NormalWeb"/>
        <w:spacing w:before="0" w:beforeAutospacing="0" w:after="0" w:afterAutospacing="0"/>
        <w:jc w:val="both"/>
        <w:rPr>
          <w:rFonts w:ascii="Calibri" w:hAnsi="Calibri" w:cs="Calibri"/>
          <w:sz w:val="22"/>
          <w:szCs w:val="22"/>
        </w:rPr>
      </w:pPr>
    </w:p>
    <w:p w14:paraId="0673388F" w14:textId="5E56947B" w:rsidR="00993A43" w:rsidRPr="005E4E62" w:rsidRDefault="008535BD" w:rsidP="00C26A6F">
      <w:pPr>
        <w:spacing w:line="240" w:lineRule="auto"/>
        <w:rPr>
          <w:rFonts w:ascii="Calibri" w:hAnsi="Calibri"/>
        </w:rPr>
      </w:pPr>
      <w:r w:rsidRPr="003853DD">
        <w:rPr>
          <w:noProof/>
          <w:lang w:eastAsia="de-DE"/>
        </w:rPr>
        <w:drawing>
          <wp:inline distT="0" distB="0" distL="0" distR="0" wp14:anchorId="1E5D6DF9" wp14:editId="0150B92F">
            <wp:extent cx="246380" cy="252095"/>
            <wp:effectExtent l="0" t="0" r="127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a:hlinkClick r:id="rId15"/>
                    </pic:cNvPr>
                    <pic:cNvPicPr/>
                  </pic:nvPicPr>
                  <pic:blipFill>
                    <a:blip r:embed="rId16" cstate="print"/>
                    <a:stretch>
                      <a:fillRect/>
                    </a:stretch>
                  </pic:blipFill>
                  <pic:spPr>
                    <a:xfrm>
                      <a:off x="0" y="0"/>
                      <a:ext cx="246380" cy="252095"/>
                    </a:xfrm>
                    <a:prstGeom prst="rect">
                      <a:avLst/>
                    </a:prstGeom>
                  </pic:spPr>
                </pic:pic>
              </a:graphicData>
            </a:graphic>
          </wp:inline>
        </w:drawing>
      </w:r>
      <w:r>
        <w:t xml:space="preserve">    </w:t>
      </w:r>
      <w:hyperlink r:id="rId17" w:history="1"/>
      <w:r w:rsidRPr="00D12B09">
        <w:rPr>
          <w:rFonts w:ascii="Calibri" w:hAnsi="Calibri"/>
          <w:noProof/>
          <w:lang w:eastAsia="de-DE"/>
        </w:rPr>
        <w:drawing>
          <wp:inline distT="0" distB="0" distL="0" distR="0" wp14:anchorId="10DCFDBE" wp14:editId="08FF2850">
            <wp:extent cx="252095" cy="252095"/>
            <wp:effectExtent l="0" t="0" r="0" b="0"/>
            <wp:docPr id="9" name="Picture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18"/>
                    </pic:cNvPr>
                    <pic:cNvPicPr>
                      <a:picLocks noChangeAspect="1" noChangeArrowheads="1"/>
                    </pic:cNvPicPr>
                  </pic:nvPicPr>
                  <pic:blipFill>
                    <a:blip r:embed="rId19" cstate="print"/>
                    <a:stretch>
                      <a:fillRect/>
                    </a:stretch>
                  </pic:blipFill>
                  <pic:spPr bwMode="auto">
                    <a:xfrm>
                      <a:off x="0" y="0"/>
                      <a:ext cx="252095" cy="252095"/>
                    </a:xfrm>
                    <a:prstGeom prst="rect">
                      <a:avLst/>
                    </a:prstGeom>
                  </pic:spPr>
                </pic:pic>
              </a:graphicData>
            </a:graphic>
          </wp:inline>
        </w:drawing>
      </w:r>
      <w:r>
        <w:rPr>
          <w:rFonts w:ascii="Calibri" w:hAnsi="Calibri"/>
        </w:rPr>
        <w:t xml:space="preserve">    </w:t>
      </w:r>
      <w:r w:rsidRPr="00D12B09">
        <w:rPr>
          <w:rFonts w:ascii="Calibri" w:hAnsi="Calibri"/>
          <w:noProof/>
          <w:lang w:eastAsia="de-DE"/>
        </w:rPr>
        <w:drawing>
          <wp:inline distT="0" distB="0" distL="0" distR="0" wp14:anchorId="3FBA2C36" wp14:editId="643EFD14">
            <wp:extent cx="252095" cy="252095"/>
            <wp:effectExtent l="0" t="0" r="0" b="0"/>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hlinkClick r:id="rId20"/>
                    </pic:cNvPr>
                    <pic:cNvPicPr>
                      <a:picLocks noChangeAspect="1" noChangeArrowheads="1"/>
                    </pic:cNvPicPr>
                  </pic:nvPicPr>
                  <pic:blipFill>
                    <a:blip r:embed="rId21" cstate="print"/>
                    <a:stretch>
                      <a:fillRect/>
                    </a:stretch>
                  </pic:blipFill>
                  <pic:spPr bwMode="auto">
                    <a:xfrm>
                      <a:off x="0" y="0"/>
                      <a:ext cx="252095" cy="252095"/>
                    </a:xfrm>
                    <a:prstGeom prst="rect">
                      <a:avLst/>
                    </a:prstGeom>
                  </pic:spPr>
                </pic:pic>
              </a:graphicData>
            </a:graphic>
          </wp:inline>
        </w:drawing>
      </w:r>
      <w:r>
        <w:rPr>
          <w:rFonts w:ascii="Calibri" w:hAnsi="Calibri"/>
        </w:rPr>
        <w:t xml:space="preserve">    </w:t>
      </w:r>
      <w:r w:rsidRPr="00D12B09">
        <w:rPr>
          <w:rFonts w:ascii="Calibri" w:hAnsi="Calibri"/>
          <w:noProof/>
          <w:lang w:eastAsia="de-DE"/>
        </w:rPr>
        <w:drawing>
          <wp:inline distT="0" distB="0" distL="0" distR="0" wp14:anchorId="5F7FC82C" wp14:editId="442F2D01">
            <wp:extent cx="252095" cy="252095"/>
            <wp:effectExtent l="0" t="0" r="0" b="0"/>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a:hlinkClick r:id="rId22"/>
                    </pic:cNvPr>
                    <pic:cNvPicPr>
                      <a:picLocks noChangeAspect="1" noChangeArrowheads="1"/>
                    </pic:cNvPicPr>
                  </pic:nvPicPr>
                  <pic:blipFill>
                    <a:blip r:embed="rId23" cstate="print"/>
                    <a:stretch>
                      <a:fillRect/>
                    </a:stretch>
                  </pic:blipFill>
                  <pic:spPr bwMode="auto">
                    <a:xfrm>
                      <a:off x="0" y="0"/>
                      <a:ext cx="252095" cy="252095"/>
                    </a:xfrm>
                    <a:prstGeom prst="rect">
                      <a:avLst/>
                    </a:prstGeom>
                  </pic:spPr>
                </pic:pic>
              </a:graphicData>
            </a:graphic>
          </wp:inline>
        </w:drawing>
      </w:r>
      <w:r>
        <w:rPr>
          <w:rFonts w:ascii="Calibri" w:hAnsi="Calibri"/>
        </w:rPr>
        <w:t xml:space="preserve">    </w:t>
      </w:r>
      <w:r w:rsidRPr="003853DD">
        <w:rPr>
          <w:noProof/>
          <w:lang w:eastAsia="de-DE"/>
        </w:rPr>
        <w:drawing>
          <wp:inline distT="0" distB="0" distL="0" distR="0" wp14:anchorId="60DE6437" wp14:editId="4EB77E8D">
            <wp:extent cx="257810" cy="252095"/>
            <wp:effectExtent l="0" t="0" r="8890" b="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a:hlinkClick r:id="rId24"/>
                    </pic:cNvPr>
                    <pic:cNvPicPr>
                      <a:picLocks noChangeAspect="1" noChangeArrowheads="1"/>
                    </pic:cNvPicPr>
                  </pic:nvPicPr>
                  <pic:blipFill>
                    <a:blip r:embed="rId25" cstate="print"/>
                    <a:stretch>
                      <a:fillRect/>
                    </a:stretch>
                  </pic:blipFill>
                  <pic:spPr bwMode="auto">
                    <a:xfrm>
                      <a:off x="0" y="0"/>
                      <a:ext cx="257810" cy="252095"/>
                    </a:xfrm>
                    <a:prstGeom prst="rect">
                      <a:avLst/>
                    </a:prstGeom>
                  </pic:spPr>
                </pic:pic>
              </a:graphicData>
            </a:graphic>
          </wp:inline>
        </w:drawing>
      </w:r>
      <w:r>
        <w:rPr>
          <w:rFonts w:ascii="Calibri" w:hAnsi="Calibri"/>
        </w:rPr>
        <w:t xml:space="preserve">    </w:t>
      </w:r>
      <w:r w:rsidRPr="00D12B09">
        <w:rPr>
          <w:rFonts w:ascii="Calibri" w:hAnsi="Calibri"/>
          <w:noProof/>
          <w:lang w:eastAsia="de-DE"/>
        </w:rPr>
        <w:drawing>
          <wp:inline distT="0" distB="0" distL="0" distR="0" wp14:anchorId="707EC8A0" wp14:editId="4AE3A76C">
            <wp:extent cx="234315" cy="252095"/>
            <wp:effectExtent l="0" t="0" r="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a:hlinkClick r:id="rId26"/>
                    </pic:cNvPr>
                    <pic:cNvPicPr>
                      <a:picLocks noChangeAspect="1" noChangeArrowheads="1"/>
                    </pic:cNvPicPr>
                  </pic:nvPicPr>
                  <pic:blipFill>
                    <a:blip r:embed="rId27" cstate="print"/>
                    <a:stretch>
                      <a:fillRect/>
                    </a:stretch>
                  </pic:blipFill>
                  <pic:spPr bwMode="auto">
                    <a:xfrm>
                      <a:off x="0" y="0"/>
                      <a:ext cx="234315" cy="252095"/>
                    </a:xfrm>
                    <a:prstGeom prst="rect">
                      <a:avLst/>
                    </a:prstGeom>
                  </pic:spPr>
                </pic:pic>
              </a:graphicData>
            </a:graphic>
          </wp:inline>
        </w:drawing>
      </w:r>
      <w:r>
        <w:rPr>
          <w:rFonts w:ascii="Calibri" w:hAnsi="Calibri"/>
        </w:rPr>
        <w:t xml:space="preserve">    </w:t>
      </w:r>
    </w:p>
    <w:sectPr w:rsidR="00993A43" w:rsidRPr="005E4E62" w:rsidSect="0033108C">
      <w:headerReference w:type="default" r:id="rId28"/>
      <w:footerReference w:type="default" r:id="rId29"/>
      <w:headerReference w:type="first" r:id="rId30"/>
      <w:footerReference w:type="first" r:id="rId31"/>
      <w:type w:val="continuous"/>
      <w:pgSz w:w="11906" w:h="16838" w:code="9"/>
      <w:pgMar w:top="2126" w:right="3175" w:bottom="567" w:left="1361" w:header="90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3AFB5" w14:textId="77777777" w:rsidR="00B5374A" w:rsidRDefault="00B5374A" w:rsidP="00DF6567">
      <w:pPr>
        <w:spacing w:line="240" w:lineRule="auto"/>
      </w:pPr>
      <w:r>
        <w:separator/>
      </w:r>
    </w:p>
  </w:endnote>
  <w:endnote w:type="continuationSeparator" w:id="0">
    <w:p w14:paraId="5B2F2B35" w14:textId="77777777" w:rsidR="00B5374A" w:rsidRDefault="00B5374A" w:rsidP="00DF65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4120898"/>
      <w:docPartObj>
        <w:docPartGallery w:val="Page Numbers (Bottom of Page)"/>
        <w:docPartUnique/>
      </w:docPartObj>
    </w:sdtPr>
    <w:sdtEndPr/>
    <w:sdtContent>
      <w:p w14:paraId="6ABB7735" w14:textId="77777777" w:rsidR="00C24963" w:rsidRDefault="00C24963" w:rsidP="000A262F">
        <w:pPr>
          <w:pStyle w:val="BU"/>
        </w:pPr>
        <w:r w:rsidRPr="00AB5AB6">
          <w:fldChar w:fldCharType="begin"/>
        </w:r>
        <w:r w:rsidRPr="00AB5AB6">
          <w:instrText>PAGE   \* MERGEFORMAT</w:instrText>
        </w:r>
        <w:r w:rsidRPr="00AB5AB6">
          <w:fldChar w:fldCharType="separate"/>
        </w:r>
        <w:r>
          <w:t>2</w:t>
        </w:r>
        <w:r w:rsidRPr="00AB5AB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475280"/>
      <w:docPartObj>
        <w:docPartGallery w:val="Page Numbers (Bottom of Page)"/>
        <w:docPartUnique/>
      </w:docPartObj>
    </w:sdtPr>
    <w:sdtEndPr/>
    <w:sdtContent>
      <w:p w14:paraId="61069D6C" w14:textId="77777777" w:rsidR="00C24963" w:rsidRDefault="00C24963" w:rsidP="000A262F">
        <w:pPr>
          <w:pStyle w:val="BU"/>
        </w:pPr>
        <w:r>
          <w:fldChar w:fldCharType="begin"/>
        </w:r>
        <w:r>
          <w:instrText>PAGE   \* MERGEFORMAT</w:instrText>
        </w:r>
        <w: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1ABF5" w14:textId="77777777" w:rsidR="00B5374A" w:rsidRDefault="00B5374A" w:rsidP="00DF6567">
      <w:pPr>
        <w:spacing w:line="240" w:lineRule="auto"/>
      </w:pPr>
      <w:r>
        <w:separator/>
      </w:r>
    </w:p>
  </w:footnote>
  <w:footnote w:type="continuationSeparator" w:id="0">
    <w:p w14:paraId="4EC4D5D2" w14:textId="77777777" w:rsidR="00B5374A" w:rsidRDefault="00B5374A" w:rsidP="00DF65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08914" w14:textId="2E1C3138" w:rsidR="00C24963" w:rsidRDefault="00C24963" w:rsidP="007C0770">
    <w:pPr>
      <w:pStyle w:val="Header"/>
      <w:tabs>
        <w:tab w:val="clear" w:pos="4536"/>
      </w:tabs>
    </w:pPr>
    <w:r>
      <w:rPr>
        <w:noProof/>
        <w:lang w:eastAsia="de-DE"/>
      </w:rPr>
      <w:drawing>
        <wp:anchor distT="0" distB="0" distL="114300" distR="114300" simplePos="0" relativeHeight="251659264" behindDoc="1" locked="1" layoutInCell="0" allowOverlap="1" wp14:anchorId="0A27EC47" wp14:editId="17072854">
          <wp:simplePos x="0" y="0"/>
          <wp:positionH relativeFrom="page">
            <wp:posOffset>5544820</wp:posOffset>
          </wp:positionH>
          <wp:positionV relativeFrom="page">
            <wp:posOffset>575945</wp:posOffset>
          </wp:positionV>
          <wp:extent cx="1440000" cy="162000"/>
          <wp:effectExtent l="0" t="0" r="825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CHAEFFLER_cmyk_SZ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1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C1906" w14:textId="62318DA4" w:rsidR="00C24963" w:rsidRDefault="00C24963">
    <w:pPr>
      <w:pStyle w:val="Header"/>
    </w:pPr>
    <w:r>
      <w:rPr>
        <w:noProof/>
        <w:lang w:eastAsia="de-DE"/>
      </w:rPr>
      <mc:AlternateContent>
        <mc:Choice Requires="wps">
          <w:drawing>
            <wp:anchor distT="0" distB="0" distL="114300" distR="114300" simplePos="0" relativeHeight="251665408" behindDoc="0" locked="1" layoutInCell="0" allowOverlap="1" wp14:anchorId="6FD69252" wp14:editId="64C7A7C8">
              <wp:simplePos x="0" y="0"/>
              <wp:positionH relativeFrom="page">
                <wp:posOffset>864235</wp:posOffset>
              </wp:positionH>
              <wp:positionV relativeFrom="page">
                <wp:posOffset>1771650</wp:posOffset>
              </wp:positionV>
              <wp:extent cx="208800" cy="1080000"/>
              <wp:effectExtent l="0" t="0" r="1270" b="6350"/>
              <wp:wrapNone/>
              <wp:docPr id="1" name="Rechteck 1"/>
              <wp:cNvGraphicFramePr/>
              <a:graphic xmlns:a="http://schemas.openxmlformats.org/drawingml/2006/main">
                <a:graphicData uri="http://schemas.microsoft.com/office/word/2010/wordprocessingShape">
                  <wps:wsp>
                    <wps:cNvSpPr/>
                    <wps:spPr>
                      <a:xfrm>
                        <a:off x="0" y="0"/>
                        <a:ext cx="208800" cy="108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4848925" id="Rechteck 1" o:spid="_x0000_s1026" style="position:absolute;margin-left:68.05pt;margin-top:139.5pt;width:16.45pt;height:85.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" o:allowincell="f" fillcolor="#00893d [3214]" stroked="f" strokeweight="2pt">
              <w10:wrap anchorx="page" anchory="page"/>
              <w10:anchorlock/>
            </v:rect>
          </w:pict>
        </mc:Fallback>
      </mc:AlternateContent>
    </w:r>
    <w:r>
      <w:rPr>
        <w:noProof/>
        <w:lang w:eastAsia="de-DE"/>
      </w:rPr>
      <mc:AlternateContent>
        <mc:Choice Requires="wps">
          <w:drawing>
            <wp:anchor distT="45720" distB="45720" distL="114300" distR="114300" simplePos="0" relativeHeight="251666432" behindDoc="0" locked="1" layoutInCell="1" allowOverlap="1" wp14:anchorId="5C443FF7" wp14:editId="4B88D828">
              <wp:simplePos x="0" y="0"/>
              <wp:positionH relativeFrom="margin">
                <wp:align>left</wp:align>
              </wp:positionH>
              <wp:positionV relativeFrom="page">
                <wp:posOffset>860425</wp:posOffset>
              </wp:positionV>
              <wp:extent cx="2696210" cy="186690"/>
              <wp:effectExtent l="0" t="0" r="889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186690"/>
                      </a:xfrm>
                      <a:prstGeom prst="rect">
                        <a:avLst/>
                      </a:prstGeom>
                      <a:solidFill>
                        <a:srgbClr val="FFFFFF"/>
                      </a:solidFill>
                      <a:ln w="9525">
                        <a:noFill/>
                        <a:miter lim="800000"/>
                        <a:headEnd/>
                        <a:tailEnd/>
                      </a:ln>
                    </wps:spPr>
                    <wps:txbx>
                      <w:txbxContent>
                        <w:p w14:paraId="4A753E94" w14:textId="5DCAF9C6" w:rsidR="00C24963" w:rsidRPr="00D764A7" w:rsidRDefault="00C24963" w:rsidP="00153B3F">
                          <w:pPr>
                            <w:spacing w:before="0" w:line="280" w:lineRule="exact"/>
                            <w:rPr>
                              <w:szCs w:val="20"/>
                            </w:rPr>
                          </w:pPr>
                          <w:r>
                            <w:rPr>
                              <w:szCs w:val="20"/>
                            </w:rPr>
                            <w:t>Press Release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443FF7" id="_x0000_t202" coordsize="21600,21600" o:spt="202" path="m,l,21600r21600,l21600,xe">
              <v:stroke joinstyle="miter"/>
              <v:path gradientshapeok="t" o:connecttype="rect"/>
            </v:shapetype>
            <v:shape id="Textfeld 2" o:spid="_x0000_s1026" type="#_x0000_t202" style="position:absolute;margin-left:0;margin-top:67.75pt;width:212.3pt;height:14.7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" stroked="f">
              <v:textbox style="mso-fit-shape-to-text:t" inset="0,0,0,0">
                <w:txbxContent>
                  <w:p w14:paraId="4A753E94" w14:textId="5DCAF9C6" w:rsidR="00C24963" w:rsidRPr="00D764A7" w:rsidRDefault="00C24963" w:rsidP="00153B3F">
                    <w:pPr>
                      <w:spacing w:before="0" w:line="280" w:lineRule="exact"/>
                      <w:rPr>
                        <w:szCs w:val="20"/>
                      </w:rPr>
                    </w:pPr>
                    <w:r>
                      <w:rPr>
                        <w:szCs w:val="20"/>
                      </w:rPr>
                      <w:t>Press Release</w:t>
                    </w:r>
                  </w:p>
                </w:txbxContent>
              </v:textbox>
              <w10:wrap type="square" anchorx="margin" anchory="page"/>
              <w10:anchorlock/>
            </v:shape>
          </w:pict>
        </mc:Fallback>
      </mc:AlternateContent>
    </w:r>
    <w:r>
      <w:rPr>
        <w:noProof/>
        <w:lang w:eastAsia="de-DE"/>
      </w:rPr>
      <w:drawing>
        <wp:anchor distT="0" distB="0" distL="114300" distR="114300" simplePos="0" relativeHeight="251663360" behindDoc="1" locked="1" layoutInCell="0" allowOverlap="1" wp14:anchorId="3BE3A7A5" wp14:editId="389064DF">
          <wp:simplePos x="0" y="0"/>
          <wp:positionH relativeFrom="page">
            <wp:posOffset>5544820</wp:posOffset>
          </wp:positionH>
          <wp:positionV relativeFrom="page">
            <wp:posOffset>575945</wp:posOffset>
          </wp:positionV>
          <wp:extent cx="1440000" cy="162000"/>
          <wp:effectExtent l="0" t="0" r="825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CHAEFFLER_cmyk_SZ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1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4B9639B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34E122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CA8866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5AD24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5E48706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A26161"/>
    <w:multiLevelType w:val="hybridMultilevel"/>
    <w:tmpl w:val="9384AD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800239"/>
    <w:multiLevelType w:val="hybridMultilevel"/>
    <w:tmpl w:val="5D7A67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AF538D"/>
    <w:multiLevelType w:val="hybridMultilevel"/>
    <w:tmpl w:val="2A36AA32"/>
    <w:lvl w:ilvl="0" w:tplc="F552D5C6">
      <w:start w:val="1"/>
      <w:numFmt w:val="bullet"/>
      <w:pStyle w:val="ListParagraph"/>
      <w:lvlText w:val=""/>
      <w:lvlJc w:val="left"/>
      <w:pPr>
        <w:ind w:left="890" w:hanging="360"/>
      </w:pPr>
      <w:rPr>
        <w:rFonts w:ascii="Symbol" w:hAnsi="Symbol"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8" w15:restartNumberingAfterBreak="0">
    <w:nsid w:val="47FC59C3"/>
    <w:multiLevelType w:val="hybridMultilevel"/>
    <w:tmpl w:val="AC3C2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873984"/>
    <w:multiLevelType w:val="hybridMultilevel"/>
    <w:tmpl w:val="8F8E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83632"/>
    <w:multiLevelType w:val="hybridMultilevel"/>
    <w:tmpl w:val="CB90F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B46489"/>
    <w:multiLevelType w:val="hybridMultilevel"/>
    <w:tmpl w:val="686458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BD36573"/>
    <w:multiLevelType w:val="hybridMultilevel"/>
    <w:tmpl w:val="C352B7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C142DB3"/>
    <w:multiLevelType w:val="hybridMultilevel"/>
    <w:tmpl w:val="F88A88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5"/>
  </w:num>
  <w:num w:numId="3">
    <w:abstractNumId w:val="12"/>
  </w:num>
  <w:num w:numId="4">
    <w:abstractNumId w:val="13"/>
  </w:num>
  <w:num w:numId="5">
    <w:abstractNumId w:val="8"/>
  </w:num>
  <w:num w:numId="6">
    <w:abstractNumId w:val="7"/>
  </w:num>
  <w:num w:numId="7">
    <w:abstractNumId w:val="10"/>
  </w:num>
  <w:num w:numId="8">
    <w:abstractNumId w:val="4"/>
  </w:num>
  <w:num w:numId="9">
    <w:abstractNumId w:val="3"/>
  </w:num>
  <w:num w:numId="10">
    <w:abstractNumId w:val="2"/>
  </w:num>
  <w:num w:numId="11">
    <w:abstractNumId w:val="1"/>
  </w:num>
  <w:num w:numId="12">
    <w:abstractNumId w:val="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62"/>
    <w:rsid w:val="000013CE"/>
    <w:rsid w:val="0000471F"/>
    <w:rsid w:val="00011889"/>
    <w:rsid w:val="00015FD4"/>
    <w:rsid w:val="0002077D"/>
    <w:rsid w:val="00026162"/>
    <w:rsid w:val="0002634A"/>
    <w:rsid w:val="00047292"/>
    <w:rsid w:val="00061E5E"/>
    <w:rsid w:val="00063872"/>
    <w:rsid w:val="00075654"/>
    <w:rsid w:val="00095AF9"/>
    <w:rsid w:val="00097096"/>
    <w:rsid w:val="000A183F"/>
    <w:rsid w:val="000A262F"/>
    <w:rsid w:val="000C57A5"/>
    <w:rsid w:val="000D3A25"/>
    <w:rsid w:val="000E100D"/>
    <w:rsid w:val="000E67F0"/>
    <w:rsid w:val="000F78D3"/>
    <w:rsid w:val="00102EE4"/>
    <w:rsid w:val="00103C05"/>
    <w:rsid w:val="00104DD2"/>
    <w:rsid w:val="00105DA7"/>
    <w:rsid w:val="00106786"/>
    <w:rsid w:val="00113A4F"/>
    <w:rsid w:val="0012172A"/>
    <w:rsid w:val="0012719B"/>
    <w:rsid w:val="0013382E"/>
    <w:rsid w:val="00145086"/>
    <w:rsid w:val="00152491"/>
    <w:rsid w:val="00153B3F"/>
    <w:rsid w:val="001620B6"/>
    <w:rsid w:val="00162450"/>
    <w:rsid w:val="00162506"/>
    <w:rsid w:val="00185747"/>
    <w:rsid w:val="001909D1"/>
    <w:rsid w:val="001A2241"/>
    <w:rsid w:val="001A4DFA"/>
    <w:rsid w:val="001D028C"/>
    <w:rsid w:val="001D481B"/>
    <w:rsid w:val="001F0BB7"/>
    <w:rsid w:val="001F3660"/>
    <w:rsid w:val="0020563C"/>
    <w:rsid w:val="002056A9"/>
    <w:rsid w:val="002102F5"/>
    <w:rsid w:val="00220896"/>
    <w:rsid w:val="00221AA2"/>
    <w:rsid w:val="00223792"/>
    <w:rsid w:val="00226573"/>
    <w:rsid w:val="002317C9"/>
    <w:rsid w:val="00236F91"/>
    <w:rsid w:val="00240700"/>
    <w:rsid w:val="00265326"/>
    <w:rsid w:val="00272C36"/>
    <w:rsid w:val="00272D28"/>
    <w:rsid w:val="00291368"/>
    <w:rsid w:val="00296941"/>
    <w:rsid w:val="002A1879"/>
    <w:rsid w:val="002E68F4"/>
    <w:rsid w:val="002F71F8"/>
    <w:rsid w:val="00300D11"/>
    <w:rsid w:val="003022D5"/>
    <w:rsid w:val="003060A0"/>
    <w:rsid w:val="00327BFC"/>
    <w:rsid w:val="0033108C"/>
    <w:rsid w:val="00336E29"/>
    <w:rsid w:val="00354776"/>
    <w:rsid w:val="00357CC4"/>
    <w:rsid w:val="00371904"/>
    <w:rsid w:val="0037195E"/>
    <w:rsid w:val="00380E98"/>
    <w:rsid w:val="00390428"/>
    <w:rsid w:val="00392558"/>
    <w:rsid w:val="0039421C"/>
    <w:rsid w:val="00395285"/>
    <w:rsid w:val="003961A3"/>
    <w:rsid w:val="003A1F52"/>
    <w:rsid w:val="003C2A2A"/>
    <w:rsid w:val="003C755C"/>
    <w:rsid w:val="003D15DC"/>
    <w:rsid w:val="003E7355"/>
    <w:rsid w:val="003F5C4E"/>
    <w:rsid w:val="00414722"/>
    <w:rsid w:val="00417C4B"/>
    <w:rsid w:val="00420B4E"/>
    <w:rsid w:val="00423BD5"/>
    <w:rsid w:val="00443EE0"/>
    <w:rsid w:val="0044790B"/>
    <w:rsid w:val="0045526D"/>
    <w:rsid w:val="00460BD8"/>
    <w:rsid w:val="004663E9"/>
    <w:rsid w:val="004740C9"/>
    <w:rsid w:val="00474261"/>
    <w:rsid w:val="00483F90"/>
    <w:rsid w:val="004A4AFC"/>
    <w:rsid w:val="004A5DBD"/>
    <w:rsid w:val="004A7DBF"/>
    <w:rsid w:val="004B114C"/>
    <w:rsid w:val="004B2BCC"/>
    <w:rsid w:val="004B70EF"/>
    <w:rsid w:val="004C458A"/>
    <w:rsid w:val="004D08D7"/>
    <w:rsid w:val="004D20C4"/>
    <w:rsid w:val="004F0FDA"/>
    <w:rsid w:val="004F752B"/>
    <w:rsid w:val="00506203"/>
    <w:rsid w:val="00520B52"/>
    <w:rsid w:val="00521B83"/>
    <w:rsid w:val="005232BD"/>
    <w:rsid w:val="00523C0B"/>
    <w:rsid w:val="005254C5"/>
    <w:rsid w:val="0054049A"/>
    <w:rsid w:val="00555FB0"/>
    <w:rsid w:val="00556401"/>
    <w:rsid w:val="00560776"/>
    <w:rsid w:val="00563369"/>
    <w:rsid w:val="005926D5"/>
    <w:rsid w:val="005A1D01"/>
    <w:rsid w:val="005B089F"/>
    <w:rsid w:val="005D2320"/>
    <w:rsid w:val="005E4E62"/>
    <w:rsid w:val="005E5EE4"/>
    <w:rsid w:val="005F148F"/>
    <w:rsid w:val="005F2CF1"/>
    <w:rsid w:val="005F6947"/>
    <w:rsid w:val="00600AC2"/>
    <w:rsid w:val="006169C5"/>
    <w:rsid w:val="00617DC9"/>
    <w:rsid w:val="00622BF4"/>
    <w:rsid w:val="00624707"/>
    <w:rsid w:val="0063105E"/>
    <w:rsid w:val="0063204D"/>
    <w:rsid w:val="00635FD9"/>
    <w:rsid w:val="006607A2"/>
    <w:rsid w:val="00677A29"/>
    <w:rsid w:val="00681E79"/>
    <w:rsid w:val="00682D46"/>
    <w:rsid w:val="00697E4C"/>
    <w:rsid w:val="006A05A8"/>
    <w:rsid w:val="006A3B8C"/>
    <w:rsid w:val="006A488F"/>
    <w:rsid w:val="006A5C61"/>
    <w:rsid w:val="006B6318"/>
    <w:rsid w:val="006C18E5"/>
    <w:rsid w:val="006C22E7"/>
    <w:rsid w:val="006D65F9"/>
    <w:rsid w:val="006E2E59"/>
    <w:rsid w:val="006E559B"/>
    <w:rsid w:val="006E754B"/>
    <w:rsid w:val="006E77CB"/>
    <w:rsid w:val="006F5547"/>
    <w:rsid w:val="00707B60"/>
    <w:rsid w:val="007139FE"/>
    <w:rsid w:val="007166DE"/>
    <w:rsid w:val="00731BC9"/>
    <w:rsid w:val="00731ECC"/>
    <w:rsid w:val="007461CF"/>
    <w:rsid w:val="00775777"/>
    <w:rsid w:val="007975E0"/>
    <w:rsid w:val="007A31CF"/>
    <w:rsid w:val="007A5B42"/>
    <w:rsid w:val="007C073B"/>
    <w:rsid w:val="007C0770"/>
    <w:rsid w:val="007C1A53"/>
    <w:rsid w:val="007D0988"/>
    <w:rsid w:val="007F2239"/>
    <w:rsid w:val="008049D3"/>
    <w:rsid w:val="0081556D"/>
    <w:rsid w:val="008201F9"/>
    <w:rsid w:val="00821B11"/>
    <w:rsid w:val="008308CE"/>
    <w:rsid w:val="00832FB2"/>
    <w:rsid w:val="00833016"/>
    <w:rsid w:val="00835BA1"/>
    <w:rsid w:val="008474A3"/>
    <w:rsid w:val="00851D1B"/>
    <w:rsid w:val="008535BD"/>
    <w:rsid w:val="00857DD6"/>
    <w:rsid w:val="00860C29"/>
    <w:rsid w:val="00871B32"/>
    <w:rsid w:val="00896A37"/>
    <w:rsid w:val="008A4E20"/>
    <w:rsid w:val="008B3C30"/>
    <w:rsid w:val="008B494F"/>
    <w:rsid w:val="008C0BC7"/>
    <w:rsid w:val="008C6BCD"/>
    <w:rsid w:val="008D6725"/>
    <w:rsid w:val="008F4943"/>
    <w:rsid w:val="00904836"/>
    <w:rsid w:val="00905667"/>
    <w:rsid w:val="00911F16"/>
    <w:rsid w:val="00914DF9"/>
    <w:rsid w:val="009232BD"/>
    <w:rsid w:val="00930BDD"/>
    <w:rsid w:val="00947EA3"/>
    <w:rsid w:val="009560C2"/>
    <w:rsid w:val="00966C67"/>
    <w:rsid w:val="00971DD3"/>
    <w:rsid w:val="009874B1"/>
    <w:rsid w:val="00993A43"/>
    <w:rsid w:val="00997A99"/>
    <w:rsid w:val="009A2658"/>
    <w:rsid w:val="009A31C6"/>
    <w:rsid w:val="009A51C2"/>
    <w:rsid w:val="009A5847"/>
    <w:rsid w:val="009A6878"/>
    <w:rsid w:val="009B056E"/>
    <w:rsid w:val="009B3877"/>
    <w:rsid w:val="009C5F40"/>
    <w:rsid w:val="009E29E2"/>
    <w:rsid w:val="009E3268"/>
    <w:rsid w:val="00A10B8D"/>
    <w:rsid w:val="00A121FA"/>
    <w:rsid w:val="00A154BD"/>
    <w:rsid w:val="00A23408"/>
    <w:rsid w:val="00A468F2"/>
    <w:rsid w:val="00A544B3"/>
    <w:rsid w:val="00A60018"/>
    <w:rsid w:val="00A82D6A"/>
    <w:rsid w:val="00A84CBC"/>
    <w:rsid w:val="00AA16C2"/>
    <w:rsid w:val="00AA4D9E"/>
    <w:rsid w:val="00AB561A"/>
    <w:rsid w:val="00AB5AB6"/>
    <w:rsid w:val="00AB5D68"/>
    <w:rsid w:val="00AD0056"/>
    <w:rsid w:val="00AE3795"/>
    <w:rsid w:val="00AE4755"/>
    <w:rsid w:val="00AE529C"/>
    <w:rsid w:val="00B00195"/>
    <w:rsid w:val="00B0162B"/>
    <w:rsid w:val="00B05DA3"/>
    <w:rsid w:val="00B071CD"/>
    <w:rsid w:val="00B149FD"/>
    <w:rsid w:val="00B174C1"/>
    <w:rsid w:val="00B1782B"/>
    <w:rsid w:val="00B20BCD"/>
    <w:rsid w:val="00B2433A"/>
    <w:rsid w:val="00B34616"/>
    <w:rsid w:val="00B4677C"/>
    <w:rsid w:val="00B5374A"/>
    <w:rsid w:val="00B53C7D"/>
    <w:rsid w:val="00B53FE9"/>
    <w:rsid w:val="00B702E4"/>
    <w:rsid w:val="00B726AE"/>
    <w:rsid w:val="00B7410C"/>
    <w:rsid w:val="00B77F11"/>
    <w:rsid w:val="00B809A5"/>
    <w:rsid w:val="00BB54CA"/>
    <w:rsid w:val="00BC322E"/>
    <w:rsid w:val="00BC6214"/>
    <w:rsid w:val="00C02049"/>
    <w:rsid w:val="00C1366B"/>
    <w:rsid w:val="00C20EA4"/>
    <w:rsid w:val="00C24963"/>
    <w:rsid w:val="00C26483"/>
    <w:rsid w:val="00C26A6F"/>
    <w:rsid w:val="00C32B09"/>
    <w:rsid w:val="00C81756"/>
    <w:rsid w:val="00C90ED8"/>
    <w:rsid w:val="00CC2C38"/>
    <w:rsid w:val="00CC45AA"/>
    <w:rsid w:val="00CD0C9F"/>
    <w:rsid w:val="00CD61A6"/>
    <w:rsid w:val="00CD7AE9"/>
    <w:rsid w:val="00CD7E4A"/>
    <w:rsid w:val="00CF0A14"/>
    <w:rsid w:val="00CF5B32"/>
    <w:rsid w:val="00D02CD7"/>
    <w:rsid w:val="00D1693F"/>
    <w:rsid w:val="00D27390"/>
    <w:rsid w:val="00D43679"/>
    <w:rsid w:val="00D534A4"/>
    <w:rsid w:val="00D62638"/>
    <w:rsid w:val="00D63FDB"/>
    <w:rsid w:val="00D70752"/>
    <w:rsid w:val="00D764A7"/>
    <w:rsid w:val="00DA41A6"/>
    <w:rsid w:val="00DA7F89"/>
    <w:rsid w:val="00DB077D"/>
    <w:rsid w:val="00DB561C"/>
    <w:rsid w:val="00DC6F13"/>
    <w:rsid w:val="00DD37CB"/>
    <w:rsid w:val="00DD5C05"/>
    <w:rsid w:val="00DD78E4"/>
    <w:rsid w:val="00DE3A5B"/>
    <w:rsid w:val="00DE5A3C"/>
    <w:rsid w:val="00DE6CFC"/>
    <w:rsid w:val="00DF3D12"/>
    <w:rsid w:val="00DF6567"/>
    <w:rsid w:val="00DF7910"/>
    <w:rsid w:val="00E207CA"/>
    <w:rsid w:val="00E2779C"/>
    <w:rsid w:val="00E43CDC"/>
    <w:rsid w:val="00E442C7"/>
    <w:rsid w:val="00E51A3F"/>
    <w:rsid w:val="00E7229B"/>
    <w:rsid w:val="00E90047"/>
    <w:rsid w:val="00E95B8A"/>
    <w:rsid w:val="00E9673A"/>
    <w:rsid w:val="00ED2E7D"/>
    <w:rsid w:val="00ED6DC7"/>
    <w:rsid w:val="00EE0187"/>
    <w:rsid w:val="00EF176D"/>
    <w:rsid w:val="00EF2702"/>
    <w:rsid w:val="00EF3150"/>
    <w:rsid w:val="00EF3D3E"/>
    <w:rsid w:val="00F02C46"/>
    <w:rsid w:val="00F4109D"/>
    <w:rsid w:val="00F51227"/>
    <w:rsid w:val="00F63006"/>
    <w:rsid w:val="00F650DD"/>
    <w:rsid w:val="00F73F0C"/>
    <w:rsid w:val="00F74BF8"/>
    <w:rsid w:val="00F80D99"/>
    <w:rsid w:val="00F91C60"/>
    <w:rsid w:val="00F94F8A"/>
    <w:rsid w:val="00F95BF1"/>
    <w:rsid w:val="00F978EB"/>
    <w:rsid w:val="00FB66C6"/>
    <w:rsid w:val="00FB77B1"/>
    <w:rsid w:val="00FC0652"/>
    <w:rsid w:val="00FC258F"/>
    <w:rsid w:val="00FC3A91"/>
    <w:rsid w:val="00FD2E55"/>
    <w:rsid w:val="00FD77E6"/>
    <w:rsid w:val="00FF0AEC"/>
    <w:rsid w:val="00FF1CC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FD879"/>
  <w15:chartTrackingRefBased/>
  <w15:docId w15:val="{4AC405B8-88FB-48A0-AEE4-07E97E92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262F"/>
    <w:pPr>
      <w:spacing w:before="160" w:after="0"/>
    </w:pPr>
    <w:rPr>
      <w:color w:val="4A4A49"/>
    </w:rPr>
  </w:style>
  <w:style w:type="paragraph" w:styleId="Heading1">
    <w:name w:val="heading 1"/>
    <w:basedOn w:val="Normal"/>
    <w:next w:val="Normal"/>
    <w:link w:val="Heading1Char"/>
    <w:uiPriority w:val="9"/>
    <w:qFormat/>
    <w:rsid w:val="000A262F"/>
    <w:pPr>
      <w:keepNext/>
      <w:keepLines/>
      <w:spacing w:before="0" w:after="125" w:line="240" w:lineRule="auto"/>
      <w:outlineLvl w:val="0"/>
    </w:pPr>
    <w:rPr>
      <w:rFonts w:asciiTheme="majorHAnsi" w:eastAsiaTheme="majorEastAsia" w:hAnsiTheme="majorHAnsi" w:cstheme="majorBidi"/>
      <w:b/>
      <w:sz w:val="28"/>
      <w:szCs w:val="28"/>
    </w:rPr>
  </w:style>
  <w:style w:type="paragraph" w:styleId="Heading2">
    <w:name w:val="heading 2"/>
    <w:basedOn w:val="Normal"/>
    <w:next w:val="Normal"/>
    <w:link w:val="Heading2Char"/>
    <w:uiPriority w:val="9"/>
    <w:unhideWhenUsed/>
    <w:qFormat/>
    <w:rsid w:val="00D764A7"/>
    <w:pPr>
      <w:keepNext/>
      <w:keepLines/>
      <w:spacing w:before="0" w:after="125"/>
      <w:outlineLvl w:val="1"/>
    </w:pPr>
    <w:rPr>
      <w:rFonts w:asciiTheme="majorHAnsi" w:eastAsiaTheme="majorEastAsia" w:hAnsiTheme="majorHAnsi" w:cstheme="majorBidi"/>
      <w:color w:val="49494A"/>
      <w:szCs w:val="26"/>
      <w:u w:val="single"/>
    </w:rPr>
  </w:style>
  <w:style w:type="paragraph" w:styleId="Heading3">
    <w:name w:val="heading 3"/>
    <w:basedOn w:val="Normal"/>
    <w:next w:val="Normal"/>
    <w:link w:val="Heading3Char"/>
    <w:uiPriority w:val="9"/>
    <w:unhideWhenUsed/>
    <w:rsid w:val="005232BD"/>
    <w:pPr>
      <w:keepNext/>
      <w:keepLines/>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567"/>
    <w:pPr>
      <w:tabs>
        <w:tab w:val="center" w:pos="4536"/>
        <w:tab w:val="right" w:pos="9072"/>
      </w:tabs>
      <w:spacing w:line="240" w:lineRule="auto"/>
    </w:pPr>
  </w:style>
  <w:style w:type="character" w:customStyle="1" w:styleId="HeaderChar">
    <w:name w:val="Header Char"/>
    <w:basedOn w:val="DefaultParagraphFont"/>
    <w:link w:val="Header"/>
    <w:uiPriority w:val="99"/>
    <w:rsid w:val="00DF6567"/>
  </w:style>
  <w:style w:type="paragraph" w:styleId="Footer">
    <w:name w:val="footer"/>
    <w:basedOn w:val="Normal"/>
    <w:link w:val="FooterChar"/>
    <w:uiPriority w:val="99"/>
    <w:unhideWhenUsed/>
    <w:rsid w:val="00DF6567"/>
    <w:pPr>
      <w:tabs>
        <w:tab w:val="center" w:pos="4536"/>
        <w:tab w:val="right" w:pos="9072"/>
      </w:tabs>
      <w:spacing w:line="240" w:lineRule="auto"/>
    </w:pPr>
  </w:style>
  <w:style w:type="character" w:customStyle="1" w:styleId="FooterChar">
    <w:name w:val="Footer Char"/>
    <w:basedOn w:val="DefaultParagraphFont"/>
    <w:link w:val="Footer"/>
    <w:uiPriority w:val="99"/>
    <w:rsid w:val="00DF6567"/>
  </w:style>
  <w:style w:type="character" w:customStyle="1" w:styleId="Heading1Char">
    <w:name w:val="Heading 1 Char"/>
    <w:basedOn w:val="DefaultParagraphFont"/>
    <w:link w:val="Heading1"/>
    <w:uiPriority w:val="9"/>
    <w:rsid w:val="000A262F"/>
    <w:rPr>
      <w:rFonts w:asciiTheme="majorHAnsi" w:eastAsiaTheme="majorEastAsia" w:hAnsiTheme="majorHAnsi" w:cstheme="majorBidi"/>
      <w:b/>
      <w:color w:val="4A4A49"/>
      <w:sz w:val="28"/>
      <w:szCs w:val="28"/>
    </w:rPr>
  </w:style>
  <w:style w:type="character" w:customStyle="1" w:styleId="Heading2Char">
    <w:name w:val="Heading 2 Char"/>
    <w:basedOn w:val="DefaultParagraphFont"/>
    <w:link w:val="Heading2"/>
    <w:uiPriority w:val="9"/>
    <w:rsid w:val="00D764A7"/>
    <w:rPr>
      <w:rFonts w:asciiTheme="majorHAnsi" w:eastAsiaTheme="majorEastAsia" w:hAnsiTheme="majorHAnsi" w:cstheme="majorBidi"/>
      <w:color w:val="49494A"/>
      <w:szCs w:val="26"/>
      <w:u w:val="single"/>
    </w:rPr>
  </w:style>
  <w:style w:type="character" w:customStyle="1" w:styleId="Heading3Char">
    <w:name w:val="Heading 3 Char"/>
    <w:basedOn w:val="DefaultParagraphFont"/>
    <w:link w:val="Heading3"/>
    <w:uiPriority w:val="9"/>
    <w:rsid w:val="005232BD"/>
    <w:rPr>
      <w:rFonts w:asciiTheme="majorHAnsi" w:eastAsiaTheme="majorEastAsia" w:hAnsiTheme="majorHAnsi" w:cstheme="majorBidi"/>
      <w:b/>
      <w:color w:val="878787" w:themeColor="accent1"/>
      <w:sz w:val="20"/>
      <w:szCs w:val="24"/>
    </w:rPr>
  </w:style>
  <w:style w:type="character" w:styleId="Hyperlink">
    <w:name w:val="Hyperlink"/>
    <w:uiPriority w:val="99"/>
    <w:qFormat/>
    <w:rsid w:val="004A5DBD"/>
    <w:rPr>
      <w:rFonts w:asciiTheme="minorHAnsi" w:hAnsiTheme="minorHAnsi"/>
      <w:b w:val="0"/>
      <w:color w:val="00893D" w:themeColor="background2"/>
      <w:sz w:val="22"/>
      <w:lang w:val="en-US"/>
    </w:rPr>
  </w:style>
  <w:style w:type="table" w:styleId="TableGrid">
    <w:name w:val="Table Grid"/>
    <w:basedOn w:val="TableNormal"/>
    <w:uiPriority w:val="59"/>
    <w:rsid w:val="00105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731BC9"/>
    <w:pPr>
      <w:spacing w:after="0" w:line="240" w:lineRule="auto"/>
    </w:pPr>
    <w:rPr>
      <w:color w:val="878787" w:themeColor="accent1"/>
      <w:sz w:val="20"/>
    </w:rPr>
  </w:style>
  <w:style w:type="character" w:styleId="Strong">
    <w:name w:val="Strong"/>
    <w:basedOn w:val="DefaultParagraphFont"/>
    <w:qFormat/>
    <w:rsid w:val="004A5DBD"/>
    <w:rPr>
      <w:rFonts w:asciiTheme="minorHAnsi" w:hAnsiTheme="minorHAnsi"/>
      <w:b/>
      <w:bCs/>
      <w:sz w:val="22"/>
    </w:rPr>
  </w:style>
  <w:style w:type="paragraph" w:customStyle="1" w:styleId="BU">
    <w:name w:val="BU"/>
    <w:basedOn w:val="Normal"/>
    <w:qFormat/>
    <w:rsid w:val="000A262F"/>
    <w:pPr>
      <w:spacing w:before="120"/>
    </w:pPr>
    <w:rPr>
      <w:noProof/>
      <w:sz w:val="20"/>
      <w:lang w:eastAsia="de-DE"/>
    </w:rPr>
  </w:style>
  <w:style w:type="paragraph" w:customStyle="1" w:styleId="BU-fett">
    <w:name w:val="BU - fett"/>
    <w:basedOn w:val="BU"/>
    <w:qFormat/>
    <w:rsid w:val="00AE4755"/>
    <w:rPr>
      <w:b/>
    </w:rPr>
  </w:style>
  <w:style w:type="paragraph" w:styleId="ListParagraph">
    <w:name w:val="List Paragraph"/>
    <w:basedOn w:val="Normal"/>
    <w:uiPriority w:val="34"/>
    <w:qFormat/>
    <w:rsid w:val="000A262F"/>
    <w:pPr>
      <w:numPr>
        <w:numId w:val="6"/>
      </w:numPr>
      <w:spacing w:before="0" w:after="600"/>
      <w:ind w:left="227" w:hanging="227"/>
      <w:contextualSpacing/>
    </w:pPr>
    <w:rPr>
      <w:sz w:val="24"/>
    </w:rPr>
  </w:style>
  <w:style w:type="paragraph" w:styleId="BalloonText">
    <w:name w:val="Balloon Text"/>
    <w:basedOn w:val="Normal"/>
    <w:link w:val="BalloonTextChar"/>
    <w:uiPriority w:val="99"/>
    <w:semiHidden/>
    <w:unhideWhenUsed/>
    <w:rsid w:val="004F752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52B"/>
    <w:rPr>
      <w:rFonts w:ascii="Segoe UI" w:hAnsi="Segoe UI" w:cs="Segoe UI"/>
      <w:color w:val="878787" w:themeColor="accent1"/>
      <w:sz w:val="18"/>
      <w:szCs w:val="18"/>
    </w:rPr>
  </w:style>
  <w:style w:type="paragraph" w:customStyle="1" w:styleId="Teaser">
    <w:name w:val="Teaser"/>
    <w:basedOn w:val="Normal"/>
    <w:qFormat/>
    <w:rsid w:val="000A262F"/>
    <w:pPr>
      <w:spacing w:before="0" w:after="600"/>
    </w:pPr>
    <w:rPr>
      <w:noProof/>
      <w:sz w:val="24"/>
      <w:lang w:eastAsia="de-DE"/>
    </w:rPr>
  </w:style>
  <w:style w:type="character" w:styleId="FollowedHyperlink">
    <w:name w:val="FollowedHyperlink"/>
    <w:basedOn w:val="DefaultParagraphFont"/>
    <w:uiPriority w:val="99"/>
    <w:semiHidden/>
    <w:unhideWhenUsed/>
    <w:qFormat/>
    <w:rsid w:val="00523C0B"/>
    <w:rPr>
      <w:color w:val="00893D" w:themeColor="followedHyperlink"/>
      <w:u w:val="none"/>
    </w:rPr>
  </w:style>
  <w:style w:type="character" w:customStyle="1" w:styleId="NichtaufgelsteErwhnung1">
    <w:name w:val="Nicht aufgelöste Erwähnung1"/>
    <w:basedOn w:val="DefaultParagraphFont"/>
    <w:uiPriority w:val="99"/>
    <w:semiHidden/>
    <w:unhideWhenUsed/>
    <w:rsid w:val="00860C29"/>
    <w:rPr>
      <w:color w:val="605E5C"/>
      <w:shd w:val="clear" w:color="auto" w:fill="E1DFDD"/>
    </w:rPr>
  </w:style>
  <w:style w:type="paragraph" w:customStyle="1" w:styleId="Ansprechpartner">
    <w:name w:val="Ansprechpartner"/>
    <w:basedOn w:val="Normal"/>
    <w:qFormat/>
    <w:rsid w:val="00AD0056"/>
    <w:pPr>
      <w:spacing w:line="280" w:lineRule="exact"/>
    </w:pPr>
    <w:rPr>
      <w:sz w:val="20"/>
      <w:szCs w:val="20"/>
      <w:lang w:val="en-US"/>
    </w:rPr>
  </w:style>
  <w:style w:type="paragraph" w:customStyle="1" w:styleId="Hinweis">
    <w:name w:val="Hinweis"/>
    <w:basedOn w:val="Heading2"/>
    <w:qFormat/>
    <w:rsid w:val="000A262F"/>
    <w:pPr>
      <w:spacing w:after="0"/>
    </w:pPr>
    <w:rPr>
      <w:sz w:val="16"/>
      <w:u w:val="none"/>
      <w:lang w:val="en-US"/>
    </w:rPr>
  </w:style>
  <w:style w:type="paragraph" w:customStyle="1" w:styleId="Hinweisfett">
    <w:name w:val="Hinweis fett"/>
    <w:basedOn w:val="Hinweis"/>
    <w:qFormat/>
    <w:rsid w:val="001D028C"/>
    <w:rPr>
      <w:b/>
    </w:rPr>
  </w:style>
  <w:style w:type="character" w:customStyle="1" w:styleId="NichtaufgelsteErwhnung2">
    <w:name w:val="Nicht aufgelöste Erwähnung2"/>
    <w:basedOn w:val="DefaultParagraphFont"/>
    <w:uiPriority w:val="99"/>
    <w:semiHidden/>
    <w:unhideWhenUsed/>
    <w:rsid w:val="00DE5A3C"/>
    <w:rPr>
      <w:color w:val="605E5C"/>
      <w:shd w:val="clear" w:color="auto" w:fill="E1DFDD"/>
    </w:rPr>
  </w:style>
  <w:style w:type="character" w:styleId="CommentReference">
    <w:name w:val="annotation reference"/>
    <w:basedOn w:val="DefaultParagraphFont"/>
    <w:uiPriority w:val="99"/>
    <w:semiHidden/>
    <w:unhideWhenUsed/>
    <w:rsid w:val="00414722"/>
    <w:rPr>
      <w:sz w:val="16"/>
      <w:szCs w:val="16"/>
    </w:rPr>
  </w:style>
  <w:style w:type="paragraph" w:styleId="CommentText">
    <w:name w:val="annotation text"/>
    <w:basedOn w:val="Normal"/>
    <w:link w:val="CommentTextChar"/>
    <w:uiPriority w:val="99"/>
    <w:semiHidden/>
    <w:unhideWhenUsed/>
    <w:rsid w:val="00414722"/>
    <w:pPr>
      <w:spacing w:line="240" w:lineRule="auto"/>
    </w:pPr>
    <w:rPr>
      <w:sz w:val="20"/>
      <w:szCs w:val="20"/>
    </w:rPr>
  </w:style>
  <w:style w:type="character" w:customStyle="1" w:styleId="CommentTextChar">
    <w:name w:val="Comment Text Char"/>
    <w:basedOn w:val="DefaultParagraphFont"/>
    <w:link w:val="CommentText"/>
    <w:uiPriority w:val="99"/>
    <w:semiHidden/>
    <w:rsid w:val="00414722"/>
    <w:rPr>
      <w:color w:val="4A4A49"/>
      <w:sz w:val="20"/>
      <w:szCs w:val="20"/>
    </w:rPr>
  </w:style>
  <w:style w:type="paragraph" w:styleId="CommentSubject">
    <w:name w:val="annotation subject"/>
    <w:basedOn w:val="CommentText"/>
    <w:next w:val="CommentText"/>
    <w:link w:val="CommentSubjectChar"/>
    <w:uiPriority w:val="99"/>
    <w:semiHidden/>
    <w:unhideWhenUsed/>
    <w:rsid w:val="00414722"/>
    <w:rPr>
      <w:b/>
      <w:bCs/>
    </w:rPr>
  </w:style>
  <w:style w:type="character" w:customStyle="1" w:styleId="CommentSubjectChar">
    <w:name w:val="Comment Subject Char"/>
    <w:basedOn w:val="CommentTextChar"/>
    <w:link w:val="CommentSubject"/>
    <w:uiPriority w:val="99"/>
    <w:semiHidden/>
    <w:rsid w:val="00414722"/>
    <w:rPr>
      <w:b/>
      <w:bCs/>
      <w:color w:val="4A4A49"/>
      <w:sz w:val="20"/>
      <w:szCs w:val="20"/>
    </w:rPr>
  </w:style>
  <w:style w:type="character" w:styleId="UnresolvedMention">
    <w:name w:val="Unresolved Mention"/>
    <w:basedOn w:val="DefaultParagraphFont"/>
    <w:uiPriority w:val="99"/>
    <w:rsid w:val="00F63006"/>
    <w:rPr>
      <w:color w:val="605E5C"/>
      <w:shd w:val="clear" w:color="auto" w:fill="E1DFDD"/>
    </w:rPr>
  </w:style>
  <w:style w:type="paragraph" w:styleId="PlainText">
    <w:name w:val="Plain Text"/>
    <w:basedOn w:val="Normal"/>
    <w:link w:val="PlainTextChar"/>
    <w:uiPriority w:val="99"/>
    <w:semiHidden/>
    <w:unhideWhenUsed/>
    <w:rsid w:val="00DA41A6"/>
    <w:pPr>
      <w:spacing w:before="0"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DA41A6"/>
    <w:rPr>
      <w:rFonts w:ascii="Calibri" w:hAnsi="Calibri"/>
      <w:szCs w:val="21"/>
    </w:rPr>
  </w:style>
  <w:style w:type="paragraph" w:styleId="NormalWeb">
    <w:name w:val="Normal (Web)"/>
    <w:basedOn w:val="Normal"/>
    <w:uiPriority w:val="99"/>
    <w:rsid w:val="002102F5"/>
    <w:pPr>
      <w:spacing w:before="100" w:beforeAutospacing="1" w:after="100" w:afterAutospacing="1" w:line="240" w:lineRule="auto"/>
    </w:pPr>
    <w:rPr>
      <w:rFonts w:ascii="Times New Roman" w:eastAsia="SimSun" w:hAnsi="Times New Roman" w:cs="Times New Roman"/>
      <w:color w:val="auto"/>
      <w:sz w:val="24"/>
      <w:szCs w:val="24"/>
      <w:lang w:val="en-US"/>
    </w:rPr>
  </w:style>
  <w:style w:type="paragraph" w:styleId="BodyText3">
    <w:name w:val="Body Text 3"/>
    <w:basedOn w:val="Normal"/>
    <w:link w:val="BodyText3Char"/>
    <w:semiHidden/>
    <w:rsid w:val="002102F5"/>
    <w:pPr>
      <w:autoSpaceDE w:val="0"/>
      <w:autoSpaceDN w:val="0"/>
      <w:adjustRightInd w:val="0"/>
      <w:spacing w:before="120" w:line="240" w:lineRule="auto"/>
      <w:jc w:val="both"/>
    </w:pPr>
    <w:rPr>
      <w:rFonts w:ascii="Calibri" w:eastAsia="SimSun" w:hAnsi="Calibri" w:cs="Times New Roman"/>
      <w:color w:val="auto"/>
    </w:rPr>
  </w:style>
  <w:style w:type="character" w:customStyle="1" w:styleId="BodyText3Char">
    <w:name w:val="Body Text 3 Char"/>
    <w:basedOn w:val="DefaultParagraphFont"/>
    <w:link w:val="BodyText3"/>
    <w:semiHidden/>
    <w:rsid w:val="002102F5"/>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165691">
      <w:bodyDiv w:val="1"/>
      <w:marLeft w:val="0"/>
      <w:marRight w:val="0"/>
      <w:marTop w:val="0"/>
      <w:marBottom w:val="0"/>
      <w:divBdr>
        <w:top w:val="none" w:sz="0" w:space="0" w:color="auto"/>
        <w:left w:val="none" w:sz="0" w:space="0" w:color="auto"/>
        <w:bottom w:val="none" w:sz="0" w:space="0" w:color="auto"/>
        <w:right w:val="none" w:sz="0" w:space="0" w:color="auto"/>
      </w:divBdr>
    </w:div>
    <w:div w:id="200377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mckenzie@schaeffler.com" TargetMode="External"/><Relationship Id="rId18" Type="http://schemas.openxmlformats.org/officeDocument/2006/relationships/hyperlink" Target="https://www.facebook.com/SchaefflerGroup" TargetMode="External"/><Relationship Id="rId26" Type="http://schemas.openxmlformats.org/officeDocument/2006/relationships/hyperlink" Target="http://www.linkedin.com/company/schaeffler"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facebook.com/SchaefflerDeutschland"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schaefflergrou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youtube.com/user/SchaefflerGloba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haeffler.com"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chaeffler.com/" TargetMode="External"/><Relationship Id="rId22" Type="http://schemas.openxmlformats.org/officeDocument/2006/relationships/hyperlink" Target="https://www.instagram.com/schaefflergroup/" TargetMode="External"/><Relationship Id="rId27" Type="http://schemas.openxmlformats.org/officeDocument/2006/relationships/image" Target="media/image10.png"/><Relationship Id="rId30" Type="http://schemas.openxmlformats.org/officeDocument/2006/relationships/header" Target="header2.xml"/><Relationship Id="rId8" Type="http://schemas.openxmlformats.org/officeDocument/2006/relationships/hyperlink" Target="mailto:info.uk@schaeffl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Schaeffler_NL_colors">
      <a:dk1>
        <a:sysClr val="windowText" lastClr="000000"/>
      </a:dk1>
      <a:lt1>
        <a:sysClr val="window" lastClr="FFFFFF"/>
      </a:lt1>
      <a:dk2>
        <a:srgbClr val="C1CAC3"/>
      </a:dk2>
      <a:lt2>
        <a:srgbClr val="00893D"/>
      </a:lt2>
      <a:accent1>
        <a:srgbClr val="878787"/>
      </a:accent1>
      <a:accent2>
        <a:srgbClr val="DADADA"/>
      </a:accent2>
      <a:accent3>
        <a:srgbClr val="E61E35"/>
      </a:accent3>
      <a:accent4>
        <a:srgbClr val="78C7C9"/>
      </a:accent4>
      <a:accent5>
        <a:srgbClr val="E3E3E3"/>
      </a:accent5>
      <a:accent6>
        <a:srgbClr val="7D6866"/>
      </a:accent6>
      <a:hlink>
        <a:srgbClr val="00893D"/>
      </a:hlink>
      <a:folHlink>
        <a:srgbClr val="00893D"/>
      </a:folHlink>
    </a:clrScheme>
    <a:fontScheme name="Schaeffler_NL_fonts">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D18A5-E34D-4AB6-BD53-787472A7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3714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Duerschner, Melanie  (ext.)  SZ/HZA-CMB</dc:creator>
  <cp:keywords/>
  <dc:description/>
  <cp:lastModifiedBy>Roland Davies</cp:lastModifiedBy>
  <cp:revision>2</cp:revision>
  <cp:lastPrinted>2019-12-03T07:13:00Z</cp:lastPrinted>
  <dcterms:created xsi:type="dcterms:W3CDTF">2020-11-17T18:05:00Z</dcterms:created>
  <dcterms:modified xsi:type="dcterms:W3CDTF">2020-11-17T18:05:00Z</dcterms:modified>
</cp:coreProperties>
</file>