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33108C" w:rsidRPr="00B5257D" w14:paraId="497F5AFB" w14:textId="77777777" w:rsidTr="0033108C">
        <w:trPr>
          <w:trHeight w:hRule="exact" w:val="595"/>
        </w:trPr>
        <w:tc>
          <w:tcPr>
            <w:tcW w:w="7370" w:type="dxa"/>
          </w:tcPr>
          <w:p w14:paraId="1C998B3D" w14:textId="77777777" w:rsidR="0033108C" w:rsidRPr="00B5257D" w:rsidRDefault="0033108C" w:rsidP="001D028C">
            <w:pPr>
              <w:pStyle w:val="Heading2"/>
              <w:outlineLvl w:val="1"/>
            </w:pPr>
          </w:p>
        </w:tc>
      </w:tr>
      <w:tr w:rsidR="00D62638" w:rsidRPr="00B5257D" w14:paraId="0358193D" w14:textId="77777777" w:rsidTr="0002077D">
        <w:trPr>
          <w:trHeight w:hRule="exact" w:val="1758"/>
        </w:trPr>
        <w:tc>
          <w:tcPr>
            <w:tcW w:w="7370" w:type="dxa"/>
          </w:tcPr>
          <w:p w14:paraId="682C3773" w14:textId="30DD1911" w:rsidR="00D62638" w:rsidRPr="00B5257D" w:rsidRDefault="00786245" w:rsidP="000A262F">
            <w:pPr>
              <w:pStyle w:val="Heading1"/>
              <w:outlineLvl w:val="0"/>
            </w:pPr>
            <w:r>
              <w:t xml:space="preserve">Schaeffler </w:t>
            </w:r>
            <w:r w:rsidR="009C4631">
              <w:t>presented with</w:t>
            </w:r>
            <w:r w:rsidR="00176578">
              <w:t xml:space="preserve"> IAAF </w:t>
            </w:r>
            <w:r w:rsidR="00740B27">
              <w:t xml:space="preserve">Outstanding Supplier award </w:t>
            </w:r>
            <w:r w:rsidR="00176578">
              <w:t>for its</w:t>
            </w:r>
            <w:r w:rsidR="009C4631">
              <w:t xml:space="preserve"> B</w:t>
            </w:r>
            <w:r w:rsidR="00176578">
              <w:t xml:space="preserve">ack-On-Track pack </w:t>
            </w:r>
            <w:r w:rsidR="009C4631">
              <w:t>initiative</w:t>
            </w:r>
          </w:p>
        </w:tc>
      </w:tr>
      <w:tr w:rsidR="00AB5AB6" w:rsidRPr="00B5257D" w14:paraId="01799C92" w14:textId="77777777" w:rsidTr="00D764A7">
        <w:trPr>
          <w:trHeight w:hRule="exact" w:val="737"/>
        </w:trPr>
        <w:tc>
          <w:tcPr>
            <w:tcW w:w="7370" w:type="dxa"/>
          </w:tcPr>
          <w:p w14:paraId="65CCEBA9" w14:textId="77777777" w:rsidR="00AB5AB6" w:rsidRPr="00B5257D" w:rsidRDefault="00AB5AB6" w:rsidP="006A5C61"/>
        </w:tc>
      </w:tr>
    </w:tbl>
    <w:p w14:paraId="3C175163" w14:textId="379A38EC" w:rsidR="00842327" w:rsidRDefault="00176578" w:rsidP="005636C7">
      <w:pPr>
        <w:pStyle w:val="ListParagraph"/>
      </w:pPr>
      <w:r>
        <w:t>Industry recognises efforts to stimulate aftermarket</w:t>
      </w:r>
      <w:r w:rsidR="008D3ABB">
        <w:t xml:space="preserve"> during pandemic</w:t>
      </w:r>
    </w:p>
    <w:p w14:paraId="3286810A" w14:textId="0D9F0BF5" w:rsidR="001611E8" w:rsidRDefault="001611E8" w:rsidP="005636C7">
      <w:pPr>
        <w:pStyle w:val="ListParagraph"/>
      </w:pPr>
      <w:r>
        <w:t>2,000 garages received COVID support pack including PPE and POS</w:t>
      </w:r>
    </w:p>
    <w:p w14:paraId="39126DB5" w14:textId="4792F6F6" w:rsidR="00EB4733" w:rsidRDefault="00176578" w:rsidP="00F114FE">
      <w:pPr>
        <w:pStyle w:val="ListParagraph"/>
      </w:pPr>
      <w:r>
        <w:t xml:space="preserve">OESAA follow-up pack received by </w:t>
      </w:r>
      <w:r w:rsidR="001611E8">
        <w:t xml:space="preserve">a further </w:t>
      </w:r>
      <w:r>
        <w:t>3,000</w:t>
      </w:r>
      <w:r w:rsidR="001611E8">
        <w:t xml:space="preserve"> workshops</w:t>
      </w:r>
    </w:p>
    <w:p w14:paraId="1254214F" w14:textId="7E89AFDF" w:rsidR="007F2AC0" w:rsidRDefault="00F114FE" w:rsidP="00786245">
      <w:r w:rsidRPr="00B5257D">
        <w:t xml:space="preserve">Hereford | </w:t>
      </w:r>
      <w:r w:rsidR="00B65235">
        <w:t xml:space="preserve">December </w:t>
      </w:r>
      <w:r w:rsidR="00176578">
        <w:t>0</w:t>
      </w:r>
      <w:r w:rsidR="00311BEE">
        <w:t>9</w:t>
      </w:r>
      <w:r w:rsidRPr="00B5257D">
        <w:t xml:space="preserve">, 2020 | </w:t>
      </w:r>
      <w:r w:rsidR="00176578">
        <w:t>The Independent Automotive Aftermarket Federation (IAAF) has awarded</w:t>
      </w:r>
      <w:r w:rsidR="00186299">
        <w:t xml:space="preserve"> the global automotive and industrial manufacturer</w:t>
      </w:r>
      <w:r w:rsidR="00176578">
        <w:t xml:space="preserve"> Schaeffler (UK) Ltd. with its 2020 </w:t>
      </w:r>
      <w:r w:rsidR="00740B27">
        <w:t>Outstanding Supplier</w:t>
      </w:r>
      <w:r w:rsidR="00176578">
        <w:t xml:space="preserve"> award </w:t>
      </w:r>
      <w:r w:rsidR="00CB703F">
        <w:t>for its efforts to stimulate the aftermarket at the height of the COVID-19 pandemic</w:t>
      </w:r>
      <w:r w:rsidR="00842327">
        <w:t>.</w:t>
      </w:r>
    </w:p>
    <w:p w14:paraId="74C2478E" w14:textId="3DCB54D6" w:rsidR="00CB703F" w:rsidRDefault="00CB703F" w:rsidP="00CB703F">
      <w:r>
        <w:t>Nigel Morgan, Director of Schaeffler (UK) Ltd., accepted the award from IAAF Chairman Terry Knox during the annual conference, held virtually on Thursday 3</w:t>
      </w:r>
      <w:r w:rsidRPr="00CB703F">
        <w:rPr>
          <w:vertAlign w:val="superscript"/>
        </w:rPr>
        <w:t>rd</w:t>
      </w:r>
      <w:r>
        <w:t xml:space="preserve"> December.</w:t>
      </w:r>
    </w:p>
    <w:p w14:paraId="17293BA8" w14:textId="0E3B0F0D" w:rsidR="00842327" w:rsidRDefault="00176578" w:rsidP="00842327">
      <w:pPr>
        <w:rPr>
          <w:rFonts w:cs="Times New Roman (Body CS)"/>
        </w:rPr>
      </w:pPr>
      <w:r>
        <w:t xml:space="preserve">During an extraordinary year, the IAAF decided to present </w:t>
      </w:r>
      <w:r w:rsidR="00AA0611">
        <w:t xml:space="preserve">the 2020 </w:t>
      </w:r>
      <w:r>
        <w:t>award</w:t>
      </w:r>
      <w:r w:rsidR="00510BD5">
        <w:t xml:space="preserve"> to Schaeffler for its Back-On-Track initiative, which included the delivery of 2,000 high-value packs of PPE and </w:t>
      </w:r>
      <w:r w:rsidR="00CB703F">
        <w:t xml:space="preserve">POS </w:t>
      </w:r>
      <w:r w:rsidR="00510BD5">
        <w:t xml:space="preserve">materials designed to help garage owners make their workshops safe </w:t>
      </w:r>
      <w:r w:rsidR="00CB703F">
        <w:t>for both staff and customers</w:t>
      </w:r>
      <w:r w:rsidR="00E94CC7">
        <w:rPr>
          <w:rFonts w:cs="Times New Roman (Body CS)"/>
        </w:rPr>
        <w:t>.</w:t>
      </w:r>
      <w:r w:rsidR="00510BD5">
        <w:rPr>
          <w:rFonts w:cs="Times New Roman (Body CS)"/>
        </w:rPr>
        <w:t xml:space="preserve"> Schaeffler also created an</w:t>
      </w:r>
      <w:r w:rsidR="00D2082A">
        <w:rPr>
          <w:rFonts w:cs="Times New Roman (Body CS)"/>
        </w:rPr>
        <w:br/>
      </w:r>
      <w:r w:rsidR="00510BD5">
        <w:rPr>
          <w:rFonts w:cs="Times New Roman (Body CS)"/>
        </w:rPr>
        <w:t xml:space="preserve">e-learning module to </w:t>
      </w:r>
      <w:r w:rsidR="00CB703F">
        <w:rPr>
          <w:rFonts w:cs="Times New Roman (Body CS)"/>
        </w:rPr>
        <w:t xml:space="preserve">help </w:t>
      </w:r>
      <w:r w:rsidR="00510BD5">
        <w:rPr>
          <w:rFonts w:cs="Times New Roman (Body CS)"/>
        </w:rPr>
        <w:t>garages</w:t>
      </w:r>
      <w:r w:rsidR="00CB703F">
        <w:rPr>
          <w:rFonts w:cs="Times New Roman (Body CS)"/>
        </w:rPr>
        <w:t xml:space="preserve"> become more COVID aware, with hundreds of </w:t>
      </w:r>
      <w:r w:rsidR="001611E8">
        <w:rPr>
          <w:rFonts w:cs="Times New Roman (Body CS)"/>
        </w:rPr>
        <w:t xml:space="preserve">technicians </w:t>
      </w:r>
      <w:r w:rsidR="00CB703F">
        <w:rPr>
          <w:rFonts w:cs="Times New Roman (Body CS)"/>
        </w:rPr>
        <w:t>completing the course and downloading the certificate.</w:t>
      </w:r>
    </w:p>
    <w:p w14:paraId="7FE1B112" w14:textId="3ACF7B65" w:rsidR="009A303F" w:rsidRDefault="00E570E1" w:rsidP="00786245">
      <w:r>
        <w:t>T</w:t>
      </w:r>
      <w:r w:rsidR="00CB703F">
        <w:t>hank</w:t>
      </w:r>
      <w:r>
        <w:t>ing</w:t>
      </w:r>
      <w:r w:rsidR="00CB703F">
        <w:t xml:space="preserve"> the IAAF for the award, </w:t>
      </w:r>
      <w:r>
        <w:t xml:space="preserve">Nigel said </w:t>
      </w:r>
      <w:r w:rsidR="00CB703F">
        <w:t xml:space="preserve">“I would like to </w:t>
      </w:r>
      <w:r>
        <w:t xml:space="preserve">also </w:t>
      </w:r>
      <w:r w:rsidR="00CB703F">
        <w:t xml:space="preserve">thank our fantastic warehouse staff, as well as the </w:t>
      </w:r>
      <w:r>
        <w:t xml:space="preserve">Schaeffler </w:t>
      </w:r>
      <w:r w:rsidR="00CB703F">
        <w:t>sales and marketing team</w:t>
      </w:r>
      <w:r>
        <w:t>s</w:t>
      </w:r>
      <w:r w:rsidR="00CB703F">
        <w:t xml:space="preserve"> for physically packing all 2,000 boxes as well as hand delivering many of them to garages </w:t>
      </w:r>
      <w:r>
        <w:t xml:space="preserve">all over </w:t>
      </w:r>
      <w:r w:rsidR="00CB703F">
        <w:t>country”</w:t>
      </w:r>
      <w:r>
        <w:t>.</w:t>
      </w:r>
    </w:p>
    <w:p w14:paraId="0F2CB72B" w14:textId="5FD7E053" w:rsidR="004C65D7" w:rsidRDefault="00E570E1" w:rsidP="00164C2A">
      <w:r>
        <w:t xml:space="preserve">“I also </w:t>
      </w:r>
      <w:r w:rsidR="00456867">
        <w:t xml:space="preserve">have to </w:t>
      </w:r>
      <w:r>
        <w:t>thank our fellow OESAA members, who made it possible to provide a further 3,000 Back-On-Track supplementary packs to extremely grateful garage owners across the UK and Ireland</w:t>
      </w:r>
      <w:r w:rsidR="00456867">
        <w:t>.</w:t>
      </w:r>
      <w:r>
        <w:t>”</w:t>
      </w:r>
    </w:p>
    <w:p w14:paraId="67279D61" w14:textId="2CAFA2C4" w:rsidR="00E570E1" w:rsidRDefault="00E570E1" w:rsidP="00164C2A">
      <w:r>
        <w:t>Schaeffler continues to find innovative ways of engaging with workshops, including announcing a program of online ‘Tea-Break Training’ sessions starting in January 2021, after an overwhelmingly successful trial run in November.</w:t>
      </w:r>
    </w:p>
    <w:p w14:paraId="0142C2F6" w14:textId="77609420" w:rsidR="00BD5CF4" w:rsidRPr="00674E76" w:rsidRDefault="00164C2A" w:rsidP="00164C2A">
      <w:r w:rsidRPr="00B5257D">
        <w:rPr>
          <w:rFonts w:ascii="Calibri" w:hAnsi="Calibri" w:cs="Calibri"/>
        </w:rPr>
        <w:t>Information on Schaeffler products</w:t>
      </w:r>
      <w:r w:rsidR="004B1F49">
        <w:rPr>
          <w:rFonts w:ascii="Calibri" w:hAnsi="Calibri" w:cs="Calibri"/>
        </w:rPr>
        <w:t xml:space="preserve"> and systems</w:t>
      </w:r>
      <w:r w:rsidRPr="00B5257D">
        <w:rPr>
          <w:rFonts w:ascii="Calibri" w:hAnsi="Calibri" w:cs="Calibri"/>
        </w:rPr>
        <w:t xml:space="preserve">, fitting instructions, labour times and much more can be found on the REPXPERT </w:t>
      </w:r>
      <w:r w:rsidR="00592FD6" w:rsidRPr="00B5257D">
        <w:rPr>
          <w:rFonts w:ascii="Calibri" w:hAnsi="Calibri" w:cs="Calibri"/>
        </w:rPr>
        <w:t>workshop</w:t>
      </w:r>
      <w:r w:rsidRPr="00B5257D">
        <w:rPr>
          <w:rFonts w:ascii="Calibri" w:hAnsi="Calibri" w:cs="Calibri"/>
        </w:rPr>
        <w:t xml:space="preserve"> portal </w:t>
      </w:r>
      <w:r w:rsidR="004B1F49">
        <w:rPr>
          <w:rFonts w:ascii="Calibri" w:hAnsi="Calibri" w:cs="Calibri"/>
        </w:rPr>
        <w:t xml:space="preserve">at </w:t>
      </w:r>
      <w:hyperlink r:id="rId11" w:history="1">
        <w:r w:rsidR="004B1F49" w:rsidRPr="00522C2E">
          <w:rPr>
            <w:rStyle w:val="Hyperlink"/>
            <w:rFonts w:ascii="Calibri" w:hAnsi="Calibri" w:cs="Calibri"/>
            <w:lang w:val="en-GB"/>
          </w:rPr>
          <w:t>www.repxpert.co.uk</w:t>
        </w:r>
      </w:hyperlink>
      <w:r w:rsidRPr="00B5257D">
        <w:rPr>
          <w:rFonts w:ascii="Calibri" w:hAnsi="Calibri" w:cs="Calibri"/>
        </w:rPr>
        <w:t xml:space="preserve"> </w:t>
      </w:r>
      <w:r w:rsidR="004B1F49">
        <w:rPr>
          <w:rFonts w:ascii="Calibri" w:hAnsi="Calibri" w:cs="Calibri"/>
        </w:rPr>
        <w:t xml:space="preserve">or by using </w:t>
      </w:r>
      <w:r w:rsidRPr="00B5257D">
        <w:rPr>
          <w:rFonts w:ascii="Calibri" w:hAnsi="Calibri" w:cs="Calibri"/>
        </w:rPr>
        <w:t>the REPXPERT app</w:t>
      </w:r>
      <w:r w:rsidR="004B1F49">
        <w:rPr>
          <w:rFonts w:ascii="Calibri" w:hAnsi="Calibri" w:cs="Calibri"/>
        </w:rPr>
        <w:t>, which is a free download for all iOS and Android devices.</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B174C1" w:rsidRPr="00B5257D" w14:paraId="15289C55" w14:textId="77777777" w:rsidTr="00B726AE">
        <w:trPr>
          <w:trHeight w:hRule="exact" w:val="340"/>
        </w:trPr>
        <w:tc>
          <w:tcPr>
            <w:tcW w:w="7370" w:type="dxa"/>
            <w:tcBorders>
              <w:bottom w:val="single" w:sz="2" w:space="0" w:color="646464"/>
            </w:tcBorders>
          </w:tcPr>
          <w:p w14:paraId="635D80F1" w14:textId="2FCA2FE7" w:rsidR="00B174C1" w:rsidRPr="00B5257D" w:rsidRDefault="00B174C1" w:rsidP="006A5C61"/>
        </w:tc>
      </w:tr>
      <w:tr w:rsidR="00B174C1" w:rsidRPr="00B5257D" w14:paraId="37F50A7D" w14:textId="77777777" w:rsidTr="00B726AE">
        <w:trPr>
          <w:trHeight w:hRule="exact" w:val="340"/>
        </w:trPr>
        <w:tc>
          <w:tcPr>
            <w:tcW w:w="7370" w:type="dxa"/>
            <w:tcBorders>
              <w:top w:val="single" w:sz="2" w:space="0" w:color="646464"/>
            </w:tcBorders>
          </w:tcPr>
          <w:p w14:paraId="5202293E" w14:textId="77777777" w:rsidR="00B174C1" w:rsidRPr="00B5257D" w:rsidRDefault="00B174C1" w:rsidP="006A5C61"/>
        </w:tc>
      </w:tr>
    </w:tbl>
    <w:p w14:paraId="1E523177" w14:textId="77777777" w:rsidR="00186299" w:rsidRPr="00D5768B" w:rsidRDefault="00186299" w:rsidP="00592D9A">
      <w:pPr>
        <w:pStyle w:val="Hinweisfett"/>
        <w:jc w:val="both"/>
      </w:pPr>
      <w:bookmarkStart w:id="0" w:name="_Hlk31817536"/>
      <w:r w:rsidRPr="00D5768B">
        <w:t>Schaeffler Group – We pioneer motion</w:t>
      </w:r>
    </w:p>
    <w:p w14:paraId="524067D7" w14:textId="77777777" w:rsidR="00186299" w:rsidRPr="00D5768B" w:rsidRDefault="00186299" w:rsidP="00186299">
      <w:pPr>
        <w:pStyle w:val="Hinweis"/>
        <w:spacing w:line="240" w:lineRule="auto"/>
      </w:pPr>
      <w:r w:rsidRPr="00D5768B">
        <w:t xml:space="preserve">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w:t>
      </w:r>
      <w:proofErr w:type="gramStart"/>
      <w:r w:rsidRPr="00D5768B">
        <w:t>a large number of</w:t>
      </w:r>
      <w:proofErr w:type="gramEnd"/>
      <w:r w:rsidRPr="00D5768B">
        <w:t xml:space="preserve"> industrial applications. The Schaeffler Group generated sales of approximately EUR 14.4 billion in 2019. With around 8</w:t>
      </w:r>
      <w:r>
        <w:t>3,7</w:t>
      </w:r>
      <w:r w:rsidRPr="00D5768B">
        <w:t>00 employees, Schaeffler is one of the world’s largest family companies. With almost 2,400 patent applications in 2019, Schaeffler is Germany’s second most innovative company according to the DPMA (German Patent and Trademark Office).</w:t>
      </w:r>
    </w:p>
    <w:bookmarkEnd w:id="0"/>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930BDD" w:rsidRPr="00B5257D" w14:paraId="582B2E89" w14:textId="77777777" w:rsidTr="00B726AE">
        <w:trPr>
          <w:trHeight w:hRule="exact" w:val="340"/>
        </w:trPr>
        <w:tc>
          <w:tcPr>
            <w:tcW w:w="7370" w:type="dxa"/>
            <w:tcBorders>
              <w:bottom w:val="single" w:sz="2" w:space="0" w:color="646464"/>
            </w:tcBorders>
          </w:tcPr>
          <w:p w14:paraId="564CB792" w14:textId="77777777" w:rsidR="00930BDD" w:rsidRPr="00B5257D" w:rsidRDefault="00930BDD" w:rsidP="00527F7B"/>
        </w:tc>
      </w:tr>
      <w:tr w:rsidR="00930BDD" w:rsidRPr="00B5257D" w14:paraId="02595D21" w14:textId="77777777" w:rsidTr="00B726AE">
        <w:trPr>
          <w:trHeight w:hRule="exact" w:val="340"/>
        </w:trPr>
        <w:tc>
          <w:tcPr>
            <w:tcW w:w="7370" w:type="dxa"/>
            <w:tcBorders>
              <w:top w:val="single" w:sz="2" w:space="0" w:color="646464"/>
            </w:tcBorders>
          </w:tcPr>
          <w:p w14:paraId="0BA51716" w14:textId="77777777" w:rsidR="00930BDD" w:rsidRPr="00B5257D" w:rsidRDefault="00930BDD" w:rsidP="00527F7B"/>
          <w:p w14:paraId="57736E3F" w14:textId="77777777" w:rsidR="00930BDD" w:rsidRPr="00B5257D" w:rsidRDefault="00930BDD" w:rsidP="00527F7B"/>
        </w:tc>
      </w:tr>
    </w:tbl>
    <w:p w14:paraId="3956603A" w14:textId="52D92375" w:rsidR="00B4677C" w:rsidRPr="00B5257D" w:rsidRDefault="00575D68" w:rsidP="00CD7E4A">
      <w:pPr>
        <w:spacing w:before="0"/>
        <w:rPr>
          <w:rStyle w:val="Strong"/>
        </w:rPr>
      </w:pPr>
      <w:r w:rsidRPr="00B5257D">
        <w:rPr>
          <w:rStyle w:val="Strong"/>
        </w:rPr>
        <w:t>Contact</w:t>
      </w:r>
    </w:p>
    <w:tbl>
      <w:tblPr>
        <w:tblStyle w:val="TableGrid"/>
        <w:tblW w:w="7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9"/>
        <w:gridCol w:w="3845"/>
      </w:tblGrid>
      <w:tr w:rsidR="00A812EA" w:rsidRPr="00B5257D" w14:paraId="70002332" w14:textId="77777777" w:rsidTr="00A73F26">
        <w:trPr>
          <w:trHeight w:val="525"/>
        </w:trPr>
        <w:tc>
          <w:tcPr>
            <w:tcW w:w="3859" w:type="dxa"/>
          </w:tcPr>
          <w:p w14:paraId="10ADAB5A" w14:textId="77777777" w:rsidR="00A812EA" w:rsidRPr="00B5257D" w:rsidRDefault="00A812EA" w:rsidP="00A812EA">
            <w:pPr>
              <w:autoSpaceDE w:val="0"/>
              <w:autoSpaceDN w:val="0"/>
              <w:adjustRightInd w:val="0"/>
            </w:pPr>
            <w:r w:rsidRPr="00B5257D">
              <w:rPr>
                <w:rStyle w:val="Strong"/>
              </w:rPr>
              <w:t>Jeff Earl</w:t>
            </w:r>
            <w:r w:rsidRPr="00B5257D">
              <w:rPr>
                <w:rStyle w:val="Strong"/>
                <w:sz w:val="20"/>
                <w:szCs w:val="20"/>
              </w:rPr>
              <w:br/>
            </w:r>
            <w:r w:rsidRPr="00B5257D">
              <w:t>Marketing Comms Manager</w:t>
            </w:r>
            <w:r w:rsidRPr="00B5257D">
              <w:br/>
              <w:t>Schaeffler (UK) Ltd</w:t>
            </w:r>
          </w:p>
          <w:p w14:paraId="0FC5A316" w14:textId="71934A99" w:rsidR="00A812EA" w:rsidRPr="00B5257D" w:rsidRDefault="00A812EA" w:rsidP="00A812EA">
            <w:pPr>
              <w:autoSpaceDE w:val="0"/>
              <w:autoSpaceDN w:val="0"/>
              <w:adjustRightInd w:val="0"/>
              <w:rPr>
                <w:rStyle w:val="Strong"/>
                <w:b w:val="0"/>
                <w:bCs w:val="0"/>
              </w:rPr>
            </w:pPr>
            <w:r w:rsidRPr="00B5257D">
              <w:rPr>
                <w:noProof/>
                <w:lang w:eastAsia="de-DE"/>
              </w:rPr>
              <w:drawing>
                <wp:inline distT="0" distB="0" distL="0" distR="0" wp14:anchorId="3AA1C48C" wp14:editId="6AFDF72A">
                  <wp:extent cx="129600" cy="129600"/>
                  <wp:effectExtent l="0" t="0" r="3810" b="3810"/>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sidRPr="00B5257D">
              <w:t xml:space="preserve">  +44 (0)121 313 5926</w:t>
            </w:r>
            <w:r w:rsidRPr="00B5257D">
              <w:rPr>
                <w:sz w:val="20"/>
                <w:szCs w:val="20"/>
              </w:rPr>
              <w:br/>
            </w:r>
            <w:r w:rsidRPr="00B5257D">
              <w:rPr>
                <w:noProof/>
                <w:sz w:val="20"/>
                <w:szCs w:val="20"/>
                <w:lang w:eastAsia="de-DE"/>
              </w:rPr>
              <w:drawing>
                <wp:inline distT="0" distB="0" distL="0" distR="0" wp14:anchorId="2BFFEAF7" wp14:editId="13E5BE01">
                  <wp:extent cx="136800" cy="93600"/>
                  <wp:effectExtent l="0" t="0" r="0" b="1905"/>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rsidRPr="00B5257D">
              <w:rPr>
                <w:sz w:val="20"/>
                <w:szCs w:val="20"/>
              </w:rPr>
              <w:t xml:space="preserve">  </w:t>
            </w:r>
            <w:hyperlink r:id="rId14" w:history="1">
              <w:r w:rsidRPr="00B5257D">
                <w:rPr>
                  <w:rStyle w:val="Hyperlink"/>
                  <w:lang w:val="en-GB"/>
                </w:rPr>
                <w:t>jeff.earl@schaeffler.com</w:t>
              </w:r>
            </w:hyperlink>
            <w:r w:rsidRPr="00B5257D">
              <w:rPr>
                <w:color w:val="00893D" w:themeColor="background2"/>
              </w:rPr>
              <w:br/>
            </w:r>
          </w:p>
        </w:tc>
        <w:tc>
          <w:tcPr>
            <w:tcW w:w="3845" w:type="dxa"/>
          </w:tcPr>
          <w:p w14:paraId="41FBCC34" w14:textId="525683DF" w:rsidR="00A812EA" w:rsidRPr="00B5257D" w:rsidRDefault="00186299" w:rsidP="00A812EA">
            <w:pPr>
              <w:autoSpaceDE w:val="0"/>
              <w:autoSpaceDN w:val="0"/>
              <w:adjustRightInd w:val="0"/>
            </w:pPr>
            <w:r>
              <w:rPr>
                <w:rStyle w:val="Strong"/>
              </w:rPr>
              <w:t>Laura McKenzie</w:t>
            </w:r>
            <w:r w:rsidR="00A812EA" w:rsidRPr="00B5257D">
              <w:rPr>
                <w:rStyle w:val="Strong"/>
                <w:sz w:val="20"/>
                <w:szCs w:val="20"/>
              </w:rPr>
              <w:br/>
            </w:r>
            <w:r>
              <w:t xml:space="preserve">UK </w:t>
            </w:r>
            <w:r w:rsidR="00A812EA" w:rsidRPr="00B5257D">
              <w:t xml:space="preserve">Communications &amp; Branding </w:t>
            </w:r>
            <w:r w:rsidR="00A73F26">
              <w:t>Manager</w:t>
            </w:r>
            <w:r w:rsidR="00A812EA" w:rsidRPr="00B5257D">
              <w:br/>
              <w:t xml:space="preserve">Schaeffler </w:t>
            </w:r>
            <w:r>
              <w:t>(UK) Ltd</w:t>
            </w:r>
            <w:r w:rsidR="00A812EA" w:rsidRPr="00B5257D">
              <w:br/>
            </w:r>
          </w:p>
          <w:p w14:paraId="3BC7832D" w14:textId="1A02C6EC" w:rsidR="00A812EA" w:rsidRPr="00B5257D" w:rsidRDefault="00A812EA" w:rsidP="00A812EA">
            <w:pPr>
              <w:rPr>
                <w:rStyle w:val="Strong"/>
                <w:sz w:val="20"/>
                <w:szCs w:val="20"/>
              </w:rPr>
            </w:pPr>
            <w:r w:rsidRPr="00B5257D">
              <w:rPr>
                <w:noProof/>
                <w:lang w:eastAsia="de-DE"/>
              </w:rPr>
              <w:drawing>
                <wp:inline distT="0" distB="0" distL="0" distR="0" wp14:anchorId="67502599" wp14:editId="08BF4A1C">
                  <wp:extent cx="129600" cy="129600"/>
                  <wp:effectExtent l="0" t="0" r="3810" b="3810"/>
                  <wp:docPr id="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sidRPr="00B5257D">
              <w:t xml:space="preserve">  +49 </w:t>
            </w:r>
            <w:r w:rsidRPr="00B5257D">
              <w:rPr>
                <w:noProof/>
                <w:sz w:val="20"/>
                <w:szCs w:val="20"/>
                <w:lang w:eastAsia="de-DE"/>
              </w:rPr>
              <mc:AlternateContent>
                <mc:Choice Requires="wps">
                  <w:drawing>
                    <wp:anchor distT="0" distB="0" distL="114300" distR="114300" simplePos="0" relativeHeight="251672576" behindDoc="0" locked="1" layoutInCell="1" allowOverlap="1" wp14:anchorId="2D8ABA63" wp14:editId="3E1D33DE">
                      <wp:simplePos x="0" y="0"/>
                      <wp:positionH relativeFrom="page">
                        <wp:posOffset>5544820</wp:posOffset>
                      </wp:positionH>
                      <wp:positionV relativeFrom="page">
                        <wp:posOffset>1151890</wp:posOffset>
                      </wp:positionV>
                      <wp:extent cx="1440000" cy="162000"/>
                      <wp:effectExtent l="0" t="0" r="8255" b="9525"/>
                      <wp:wrapNone/>
                      <wp:docPr id="4" name="Rechteck 32"/>
                      <wp:cNvGraphicFramePr/>
                      <a:graphic xmlns:a="http://schemas.openxmlformats.org/drawingml/2006/main">
                        <a:graphicData uri="http://schemas.microsoft.com/office/word/2010/wordprocessingShape">
                          <wps:wsp>
                            <wps:cNvSpPr/>
                            <wps:spPr>
                              <a:xfrm>
                                <a:off x="0" y="0"/>
                                <a:ext cx="1440000" cy="16200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BE87AF9" w14:textId="77777777" w:rsidR="00A812EA" w:rsidRPr="00E207CA" w:rsidRDefault="00A812EA" w:rsidP="00E463B5">
                                  <w:pPr>
                                    <w:pStyle w:val="BU"/>
                                    <w:rPr>
                                      <w:sz w:val="14"/>
                                    </w:rPr>
                                  </w:pPr>
                                  <w:r>
                                    <w:t>Platzhalter</w:t>
                                  </w:r>
                                  <w:r w:rsidRPr="00E207CA">
                                    <w:t xml:space="preserve"> Fremdlogo max. 4,5 mm hoch</w:t>
                                  </w:r>
                                </w:p>
                                <w:p w14:paraId="00C28883" w14:textId="77777777" w:rsidR="00A812EA" w:rsidRDefault="00A812EA" w:rsidP="00E463B5"/>
                              </w:txbxContent>
                            </wps:txbx>
                            <wps:bodyPr rot="0" spcFirstLastPara="0" vertOverflow="overflow" horzOverflow="overflow" vert="horz" wrap="square" lIns="72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ABA63" id="Rechteck 32" o:spid="_x0000_s1026" style="position:absolute;margin-left:436.6pt;margin-top:90.7pt;width:113.4pt;height:12.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ZafwIAAFgFAAAOAAAAZHJzL2Uyb0RvYy54bWysVN1P2zAQf5+0/8Hy+0hTPoYqUlSBmCYh&#10;QMDEs+vYJJrj885uk+6v39lOA2Jok6blwbnz3f3u22fnQ2fYVqFvwVa8PJhxpqyEurXPFf/2ePXp&#10;lDMfhK2FAasqvlOeny8/fjjr3ULNoQFTK2QEYv2idxVvQnCLovCyUZ3wB+CUJaEG7EQgFp+LGkVP&#10;6J0p5rPZSdED1g5BKu/p9jIL+TLha61kuNXaq8BMxSm2kE5M5zqexfJMLJ5RuKaVYxjiH6LoRGvJ&#10;6QR1KYJgG2x/g+paieBBhwMJXQFat1KlHCibcvYmm4dGOJVyoeJ4N5XJ/z9YebO9Q9bWFT/izIqO&#10;WnSvZBOU/M4O57E8vfML0npwdzhynsiY66Cxi3/Kgg2ppLuppGoITNJleXQ0o48zSbLyhFqWal68&#10;WDv04YuCjkWi4kgtS5UU22sfyCOp7lWiM2PjaeGqNSZL400Ro8xxJSrsjMra90pTehTJPKGmwVIX&#10;BtlW0EgIKZUNx1nUiFrl6+MUc4afLFIoxhJgRNbkf8Iu/4SdYUb9aKrSXE7Gs78bTxbJM9gwGXet&#10;BXwPwIQydo+qp7P+vki5NLFKYVgPpBLJNdQ7mgOEvCDeyauW2nEtfLgTSBtBHaQtD7d0aAN9xWGk&#10;OGsAf753H/VpUEnKWU8bVnH/YyNQcWa+Whrhz2kYWEjM4UmaEnzNrBNDnu2muwDqVklviZOJpFsM&#10;Zk9qhO6JHoJV9EgiYSX5rbgMuGcuQt56ekqkWq2SGq2gE+HaPjgZwWNx46g9Dk8C3TiPgSb5Bvab&#10;KBZvxjLrRksLq00A3aaZfanpWHZa39SM8amJ78NrPmm9PIjLXwAAAP//AwBQSwMEFAAGAAgAAAAh&#10;AOHjl//gAAAAEQEAAA8AAABkcnMvZG93bnJldi54bWxMT71OwzAQ3pF4B+uQWBC1HaCENE6FQF1p&#10;KEgwuvGRRMTnKnbb8PZcJ1hOOn3/5XLygzjgGPtABvRMgUBqguupNfD+trrOQcRkydkhEBr4wQjL&#10;6vystIULR3rFwya1gk0oFtZAl9KukDI2HXobZ2GHxNhXGL1N/I6tdKM9srkfZKbUXHrbEyd0dodP&#10;HTbfm73n3Kau9Yv2nx+uvluvlA9XSgdjLi+m5wWfxwWIhFP6U8BpA/eHiottw55cFIOB/P4mYyoD&#10;ub4FcWJopXjj1kCm5g8gq1L+X1L9AgAA//8DAFBLAQItABQABgAIAAAAIQC2gziS/gAAAOEBAAAT&#10;AAAAAAAAAAAAAAAAAAAAAABbQ29udGVudF9UeXBlc10ueG1sUEsBAi0AFAAGAAgAAAAhADj9If/W&#10;AAAAlAEAAAsAAAAAAAAAAAAAAAAALwEAAF9yZWxzLy5yZWxzUEsBAi0AFAAGAAgAAAAhAOAkllp/&#10;AgAAWAUAAA4AAAAAAAAAAAAAAAAALgIAAGRycy9lMm9Eb2MueG1sUEsBAi0AFAAGAAgAAAAhAOHj&#10;l//gAAAAEQEAAA8AAAAAAAAAAAAAAAAA2QQAAGRycy9kb3ducmV2LnhtbFBLBQYAAAAABAAEAPMA&#10;AADmBQAAAAA=&#10;" fillcolor="#e3e3e3 [3208]" stroked="f" strokeweight="2pt">
                      <v:textbox inset="2mm,1mm,1mm,0">
                        <w:txbxContent>
                          <w:p w14:paraId="5BE87AF9" w14:textId="77777777" w:rsidR="00A812EA" w:rsidRPr="00E207CA" w:rsidRDefault="00A812EA" w:rsidP="00E463B5">
                            <w:pPr>
                              <w:pStyle w:val="BU"/>
                              <w:rPr>
                                <w:sz w:val="14"/>
                              </w:rPr>
                            </w:pPr>
                            <w:r>
                              <w:t>Platzhalter</w:t>
                            </w:r>
                            <w:r w:rsidRPr="00E207CA">
                              <w:t xml:space="preserve"> Fremdlogo max. 4,5 mm hoch</w:t>
                            </w:r>
                          </w:p>
                          <w:p w14:paraId="00C28883" w14:textId="77777777" w:rsidR="00A812EA" w:rsidRDefault="00A812EA" w:rsidP="00E463B5"/>
                        </w:txbxContent>
                      </v:textbox>
                      <w10:wrap anchorx="page" anchory="page"/>
                      <w10:anchorlock/>
                    </v:rect>
                  </w:pict>
                </mc:Fallback>
              </mc:AlternateContent>
            </w:r>
            <w:r w:rsidR="00186299">
              <w:t>(0)121 313 5881</w:t>
            </w:r>
            <w:r w:rsidRPr="00B5257D">
              <w:rPr>
                <w:sz w:val="20"/>
                <w:szCs w:val="20"/>
              </w:rPr>
              <w:br/>
            </w:r>
            <w:r w:rsidRPr="00B5257D">
              <w:rPr>
                <w:noProof/>
                <w:sz w:val="20"/>
                <w:szCs w:val="20"/>
                <w:lang w:eastAsia="de-DE"/>
              </w:rPr>
              <w:drawing>
                <wp:inline distT="0" distB="0" distL="0" distR="0" wp14:anchorId="015BA591" wp14:editId="33EB5DF4">
                  <wp:extent cx="136800" cy="93600"/>
                  <wp:effectExtent l="0" t="0" r="0" b="1905"/>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rsidRPr="00B5257D">
              <w:rPr>
                <w:sz w:val="20"/>
                <w:szCs w:val="20"/>
              </w:rPr>
              <w:t xml:space="preserve">  </w:t>
            </w:r>
            <w:hyperlink r:id="rId15" w:history="1">
              <w:r w:rsidR="00A73F26" w:rsidRPr="002810EB">
                <w:rPr>
                  <w:rStyle w:val="Hyperlink"/>
                  <w:lang w:val="en-GB"/>
                </w:rPr>
                <w:t>laura.mckenzie@schaeffler.com</w:t>
              </w:r>
            </w:hyperlink>
            <w:r w:rsidRPr="00B5257D">
              <w:rPr>
                <w:color w:val="00893D" w:themeColor="background2"/>
                <w:sz w:val="20"/>
                <w:szCs w:val="20"/>
              </w:rPr>
              <w:br/>
            </w:r>
          </w:p>
        </w:tc>
      </w:tr>
      <w:tr w:rsidR="004A58D2" w:rsidRPr="00B5257D" w14:paraId="7EC4141C" w14:textId="77777777" w:rsidTr="00A73F26">
        <w:trPr>
          <w:trHeight w:val="149"/>
        </w:trPr>
        <w:tc>
          <w:tcPr>
            <w:tcW w:w="3859" w:type="dxa"/>
          </w:tcPr>
          <w:p w14:paraId="1406F8D4" w14:textId="713955AB" w:rsidR="004A58D2" w:rsidRPr="00B5257D" w:rsidRDefault="005B1698" w:rsidP="004A58D2">
            <w:pPr>
              <w:autoSpaceDE w:val="0"/>
              <w:autoSpaceDN w:val="0"/>
              <w:adjustRightInd w:val="0"/>
              <w:rPr>
                <w:rStyle w:val="Strong"/>
              </w:rPr>
            </w:pPr>
            <w:r w:rsidRPr="00B5257D">
              <w:rPr>
                <w:noProof/>
                <w:lang w:eastAsia="de-DE"/>
              </w:rPr>
              <w:drawing>
                <wp:inline distT="0" distB="0" distL="0" distR="0" wp14:anchorId="5DC54465" wp14:editId="354C873A">
                  <wp:extent cx="246960" cy="252000"/>
                  <wp:effectExtent l="0" t="0" r="1270" b="0"/>
                  <wp:docPr id="47" name="Grafik 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6"/>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46960" cy="252000"/>
                          </a:xfrm>
                          <a:prstGeom prst="rect">
                            <a:avLst/>
                          </a:prstGeom>
                        </pic:spPr>
                      </pic:pic>
                    </a:graphicData>
                  </a:graphic>
                </wp:inline>
              </w:drawing>
            </w:r>
            <w:r w:rsidRPr="00B5257D">
              <w:rPr>
                <w:rStyle w:val="Strong"/>
              </w:rPr>
              <w:t xml:space="preserve">  </w:t>
            </w:r>
            <w:r w:rsidRPr="00B5257D">
              <w:rPr>
                <w:rFonts w:ascii="Calibri" w:hAnsi="Calibri"/>
                <w:noProof/>
                <w:lang w:eastAsia="de-DE"/>
              </w:rPr>
              <w:drawing>
                <wp:inline distT="0" distB="0" distL="0" distR="0" wp14:anchorId="71FDD9C8" wp14:editId="43AD983C">
                  <wp:extent cx="252000" cy="252000"/>
                  <wp:effectExtent l="0" t="0" r="0" b="0"/>
                  <wp:docPr id="10" name="Grafik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bwMode="auto">
                          <a:xfrm>
                            <a:off x="0" y="0"/>
                            <a:ext cx="252000" cy="252000"/>
                          </a:xfrm>
                          <a:prstGeom prst="rect">
                            <a:avLst/>
                          </a:prstGeom>
                        </pic:spPr>
                      </pic:pic>
                    </a:graphicData>
                  </a:graphic>
                </wp:inline>
              </w:drawing>
            </w:r>
            <w:r w:rsidRPr="00B5257D">
              <w:rPr>
                <w:rStyle w:val="Strong"/>
              </w:rPr>
              <w:t xml:space="preserve">  </w:t>
            </w:r>
            <w:r w:rsidRPr="00B5257D">
              <w:rPr>
                <w:rFonts w:ascii="Calibri" w:hAnsi="Calibri"/>
                <w:noProof/>
                <w:lang w:eastAsia="de-DE"/>
              </w:rPr>
              <w:drawing>
                <wp:inline distT="0" distB="0" distL="0" distR="0" wp14:anchorId="32219FF4" wp14:editId="75B5FDA6">
                  <wp:extent cx="252000" cy="252000"/>
                  <wp:effectExtent l="0" t="0" r="0" b="0"/>
                  <wp:docPr id="18" name="Grafik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252000" cy="252000"/>
                          </a:xfrm>
                          <a:prstGeom prst="rect">
                            <a:avLst/>
                          </a:prstGeom>
                        </pic:spPr>
                      </pic:pic>
                    </a:graphicData>
                  </a:graphic>
                </wp:inline>
              </w:drawing>
            </w:r>
            <w:r w:rsidRPr="00B5257D">
              <w:rPr>
                <w:rStyle w:val="Strong"/>
              </w:rPr>
              <w:t xml:space="preserve">  </w:t>
            </w:r>
            <w:r w:rsidRPr="00B5257D">
              <w:rPr>
                <w:noProof/>
                <w:lang w:eastAsia="de-DE"/>
              </w:rPr>
              <w:drawing>
                <wp:inline distT="0" distB="0" distL="0" distR="0" wp14:anchorId="113FCCC4" wp14:editId="22EBE53F">
                  <wp:extent cx="257039" cy="252000"/>
                  <wp:effectExtent l="0" t="0" r="0" b="0"/>
                  <wp:docPr id="25" name="Grafik 2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257039" cy="252000"/>
                          </a:xfrm>
                          <a:prstGeom prst="rect">
                            <a:avLst/>
                          </a:prstGeom>
                        </pic:spPr>
                      </pic:pic>
                    </a:graphicData>
                  </a:graphic>
                </wp:inline>
              </w:drawing>
            </w:r>
            <w:r w:rsidRPr="00B5257D">
              <w:rPr>
                <w:rStyle w:val="Strong"/>
              </w:rPr>
              <w:t xml:space="preserve">  </w:t>
            </w:r>
            <w:r w:rsidRPr="00B5257D">
              <w:rPr>
                <w:rFonts w:ascii="Calibri" w:hAnsi="Calibri"/>
                <w:noProof/>
                <w:lang w:eastAsia="de-DE"/>
              </w:rPr>
              <w:drawing>
                <wp:inline distT="0" distB="0" distL="0" distR="0" wp14:anchorId="3F986AB2" wp14:editId="554205F4">
                  <wp:extent cx="231840" cy="252000"/>
                  <wp:effectExtent l="0" t="0" r="0" b="0"/>
                  <wp:docPr id="26" name="Grafik 2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231840" cy="252000"/>
                          </a:xfrm>
                          <a:prstGeom prst="rect">
                            <a:avLst/>
                          </a:prstGeom>
                        </pic:spPr>
                      </pic:pic>
                    </a:graphicData>
                  </a:graphic>
                </wp:inline>
              </w:drawing>
            </w:r>
          </w:p>
        </w:tc>
        <w:tc>
          <w:tcPr>
            <w:tcW w:w="3845" w:type="dxa"/>
          </w:tcPr>
          <w:p w14:paraId="6A84ABEA" w14:textId="0D1CB7D7" w:rsidR="004A58D2" w:rsidRPr="00B5257D" w:rsidRDefault="004A58D2" w:rsidP="00CD7E4A">
            <w:pPr>
              <w:autoSpaceDE w:val="0"/>
              <w:autoSpaceDN w:val="0"/>
              <w:adjustRightInd w:val="0"/>
              <w:rPr>
                <w:rStyle w:val="Strong"/>
              </w:rPr>
            </w:pPr>
          </w:p>
        </w:tc>
      </w:tr>
    </w:tbl>
    <w:p w14:paraId="0673388F" w14:textId="38092647" w:rsidR="00993A43" w:rsidRPr="00B5257D" w:rsidRDefault="00993A43" w:rsidP="004A58D2">
      <w:pPr>
        <w:spacing w:line="240" w:lineRule="auto"/>
        <w:rPr>
          <w:rFonts w:ascii="Calibri" w:hAnsi="Calibri"/>
        </w:rPr>
      </w:pPr>
    </w:p>
    <w:sectPr w:rsidR="00993A43" w:rsidRPr="00B5257D" w:rsidSect="0033108C">
      <w:headerReference w:type="default" r:id="rId31"/>
      <w:footerReference w:type="default" r:id="rId32"/>
      <w:headerReference w:type="first" r:id="rId33"/>
      <w:footerReference w:type="first" r:id="rId34"/>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BD6C" w14:textId="77777777" w:rsidR="005C6AE1" w:rsidRDefault="005C6AE1" w:rsidP="00DF6567">
      <w:pPr>
        <w:spacing w:line="240" w:lineRule="auto"/>
      </w:pPr>
      <w:r>
        <w:separator/>
      </w:r>
    </w:p>
  </w:endnote>
  <w:endnote w:type="continuationSeparator" w:id="0">
    <w:p w14:paraId="54B32D17" w14:textId="77777777" w:rsidR="005C6AE1" w:rsidRDefault="005C6AE1"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A544B3">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A544B3">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792A" w14:textId="77777777" w:rsidR="005C6AE1" w:rsidRDefault="005C6AE1" w:rsidP="00DF6567">
      <w:pPr>
        <w:spacing w:line="240" w:lineRule="auto"/>
      </w:pPr>
      <w:r>
        <w:separator/>
      </w:r>
    </w:p>
  </w:footnote>
  <w:footnote w:type="continuationSeparator" w:id="0">
    <w:p w14:paraId="79D43CFD" w14:textId="77777777" w:rsidR="005C6AE1" w:rsidRDefault="005C6AE1"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A66E"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400" cy="140462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400" cy="1404620"/>
                      </a:xfrm>
                      <a:prstGeom prst="rect">
                        <a:avLst/>
                      </a:prstGeom>
                      <a:solidFill>
                        <a:srgbClr val="FFFFFF"/>
                      </a:solidFill>
                      <a:ln w="9525">
                        <a:noFill/>
                        <a:miter lim="800000"/>
                        <a:headEnd/>
                        <a:tailEnd/>
                      </a:ln>
                    </wps:spPr>
                    <wps:txbx>
                      <w:txbxContent>
                        <w:p w14:paraId="4A753E94" w14:textId="2AD41F68" w:rsidR="00AB5AB6" w:rsidRPr="00D764A7" w:rsidRDefault="00373686"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7" type="#_x0000_t202" style="position:absolute;margin-left:0;margin-top:67.75pt;width:212.3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lGGQIAAA4EAAAOAAAAZHJzL2Uyb0RvYy54bWysU9tuGyEQfa/Uf0C817teOW6y8jpKnbqq&#10;lF6kpB/AAutFBYYC9q779R1Y24nSt6o8oAFmDjNnzqxuR6PJQfqgwDZ0PispkZaDUHbX0B9P23fX&#10;lITIrGAarGzoUQZ6u377ZjW4WlbQgxbSEwSxoR5cQ/sYXV0UgffSsDADJy0+duANi3j0u0J4NiC6&#10;0UVVlstiAC+cBy5DwNv76ZGuM37XSR6/dV2QkeiGYm4x7z7vbdqL9YrVO89cr/gpDfYPWRimLH56&#10;gbpnkZG9V39BGcU9BOjijIMpoOsUl7kGrGZevqrmsWdO5lqQnOAuNIX/B8u/Hr57okRDq/l7Siwz&#10;2KQnOcZOakGqxM/gQo1ujw4d4/gBRuxzrjW4B+A/A7Gw6ZndyTvvYeglE5jfPEUWL0InnJBA2uEL&#10;CPyG7SNkoLHzJpGHdBBExz4dL73BVAjHy2p5s1yU+MTxbb4oF8sqd69g9Tnc+RA/STAkGQ312PwM&#10;zw4PIaZ0WH12Sb8F0Epsldb54HftRntyYCiUbV65gldu2pKhoTdX1VVGtpDis4aMiihkrUxDr8u0&#10;JmklOj5akV0iU3qyMRNtT/wkSiZy4tiO6JhIa0EckSkPk2BxwNDowf+mZECxNjT82jMvKdGfLbKd&#10;lH02/NlozwazHEMbGimZzE3ME5DrdnfYha3K/Dz/fMoNRZdpOw1IUvXLc/Z6HuP1HwAAAP//AwBQ&#10;SwMEFAAGAAgAAAAhAK12iJ3kAAAADQEAAA8AAABkcnMvZG93bnJldi54bWxMj81OwzAQhO9IvIO1&#10;SNyo05+kJY1TFRCoR2iL1KMbmzjCXofYTUOfnuUEl5V2RzM7X7EanGW97kLjUcB4lADTWHnVYC1g&#10;v3u+WwALUaKS1qMW8K0DrMrrq0Lmyp/xTffbWDMKwZBLASbGNuc8VEY7GUa+1Ujah++cjLR2NVed&#10;PFO4s3ySJBl3skH6YGSrH42uPrcnJ+B+078b+3DwChdmvD68XL5e9xchbm+GpyWN9RJY1EP8c8Av&#10;A/WHkood/QlVYFYA0US6TtMUGMmzySwDdhQwTbM58LLg/ynKHwAAAP//AwBQSwECLQAUAAYACAAA&#10;ACEAtoM4kv4AAADhAQAAEwAAAAAAAAAAAAAAAAAAAAAAW0NvbnRlbnRfVHlwZXNdLnhtbFBLAQIt&#10;ABQABgAIAAAAIQA4/SH/1gAAAJQBAAALAAAAAAAAAAAAAAAAAC8BAABfcmVscy8ucmVsc1BLAQIt&#10;ABQABgAIAAAAIQC7qPlGGQIAAA4EAAAOAAAAAAAAAAAAAAAAAC4CAABkcnMvZTJvRG9jLnhtbFBL&#10;AQItABQABgAIAAAAIQCtdoid5AAAAA0BAAAPAAAAAAAAAAAAAAAAAHMEAABkcnMvZG93bnJldi54&#10;bWxQSwUGAAAAAAQABADzAAAAhAUAAAAA&#10;" stroked="f">
              <v:textbox style="mso-fit-shape-to-text:t" inset="0,0,0,0">
                <w:txbxContent>
                  <w:p w14:paraId="4A753E94" w14:textId="2AD41F68" w:rsidR="00AB5AB6" w:rsidRPr="00D764A7" w:rsidRDefault="00373686"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E07D24"/>
    <w:multiLevelType w:val="hybridMultilevel"/>
    <w:tmpl w:val="5024D542"/>
    <w:lvl w:ilvl="0" w:tplc="A27A9A76">
      <w:start w:val="20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9"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966D87"/>
    <w:multiLevelType w:val="hybridMultilevel"/>
    <w:tmpl w:val="1D18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3"/>
  </w:num>
  <w:num w:numId="5">
    <w:abstractNumId w:val="9"/>
  </w:num>
  <w:num w:numId="6">
    <w:abstractNumId w:val="8"/>
  </w:num>
  <w:num w:numId="7">
    <w:abstractNumId w:val="10"/>
  </w:num>
  <w:num w:numId="8">
    <w:abstractNumId w:val="4"/>
  </w:num>
  <w:num w:numId="9">
    <w:abstractNumId w:val="3"/>
  </w:num>
  <w:num w:numId="10">
    <w:abstractNumId w:val="2"/>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2"/>
    <w:rsid w:val="000038FC"/>
    <w:rsid w:val="0000455D"/>
    <w:rsid w:val="0001148E"/>
    <w:rsid w:val="00015950"/>
    <w:rsid w:val="0002077D"/>
    <w:rsid w:val="00023FCD"/>
    <w:rsid w:val="00026162"/>
    <w:rsid w:val="0002634A"/>
    <w:rsid w:val="00032ED3"/>
    <w:rsid w:val="00047292"/>
    <w:rsid w:val="00060381"/>
    <w:rsid w:val="00075317"/>
    <w:rsid w:val="00075654"/>
    <w:rsid w:val="0009229A"/>
    <w:rsid w:val="00095AF9"/>
    <w:rsid w:val="000A183F"/>
    <w:rsid w:val="000A1AD3"/>
    <w:rsid w:val="000A262F"/>
    <w:rsid w:val="000B14B3"/>
    <w:rsid w:val="000C57A5"/>
    <w:rsid w:val="000D3A25"/>
    <w:rsid w:val="000E100D"/>
    <w:rsid w:val="000E3034"/>
    <w:rsid w:val="000E67F0"/>
    <w:rsid w:val="000F3A1A"/>
    <w:rsid w:val="001005E3"/>
    <w:rsid w:val="00102C8C"/>
    <w:rsid w:val="00105DA7"/>
    <w:rsid w:val="00106786"/>
    <w:rsid w:val="00113A4F"/>
    <w:rsid w:val="001149C2"/>
    <w:rsid w:val="00121146"/>
    <w:rsid w:val="0013382E"/>
    <w:rsid w:val="00145321"/>
    <w:rsid w:val="00153B3F"/>
    <w:rsid w:val="00154331"/>
    <w:rsid w:val="001611E8"/>
    <w:rsid w:val="00162450"/>
    <w:rsid w:val="00162C99"/>
    <w:rsid w:val="00164C2A"/>
    <w:rsid w:val="0016795F"/>
    <w:rsid w:val="00171C78"/>
    <w:rsid w:val="00173AAD"/>
    <w:rsid w:val="00176578"/>
    <w:rsid w:val="001772B5"/>
    <w:rsid w:val="00186299"/>
    <w:rsid w:val="001909D1"/>
    <w:rsid w:val="00193B99"/>
    <w:rsid w:val="001A2241"/>
    <w:rsid w:val="001C6B0C"/>
    <w:rsid w:val="001D028C"/>
    <w:rsid w:val="001D354B"/>
    <w:rsid w:val="001D408D"/>
    <w:rsid w:val="001D481B"/>
    <w:rsid w:val="001D514D"/>
    <w:rsid w:val="001E0007"/>
    <w:rsid w:val="001F0BB7"/>
    <w:rsid w:val="00202547"/>
    <w:rsid w:val="0021390F"/>
    <w:rsid w:val="00220896"/>
    <w:rsid w:val="00226573"/>
    <w:rsid w:val="002317C9"/>
    <w:rsid w:val="0024591F"/>
    <w:rsid w:val="002533AF"/>
    <w:rsid w:val="00277D48"/>
    <w:rsid w:val="00291368"/>
    <w:rsid w:val="00296941"/>
    <w:rsid w:val="002A0369"/>
    <w:rsid w:val="002A5EB6"/>
    <w:rsid w:val="002B18F4"/>
    <w:rsid w:val="002C5833"/>
    <w:rsid w:val="002E68F4"/>
    <w:rsid w:val="002F1638"/>
    <w:rsid w:val="002F6B23"/>
    <w:rsid w:val="002F71F8"/>
    <w:rsid w:val="00300D11"/>
    <w:rsid w:val="00301FE6"/>
    <w:rsid w:val="003022D5"/>
    <w:rsid w:val="003060A0"/>
    <w:rsid w:val="00311BEE"/>
    <w:rsid w:val="003158C7"/>
    <w:rsid w:val="0033108C"/>
    <w:rsid w:val="00333F56"/>
    <w:rsid w:val="00336E29"/>
    <w:rsid w:val="0034240E"/>
    <w:rsid w:val="00352751"/>
    <w:rsid w:val="0037195E"/>
    <w:rsid w:val="00373462"/>
    <w:rsid w:val="00373686"/>
    <w:rsid w:val="00373972"/>
    <w:rsid w:val="003742B8"/>
    <w:rsid w:val="003846B1"/>
    <w:rsid w:val="00390428"/>
    <w:rsid w:val="003961E2"/>
    <w:rsid w:val="003A00CF"/>
    <w:rsid w:val="003C122A"/>
    <w:rsid w:val="003D667B"/>
    <w:rsid w:val="003E5F1D"/>
    <w:rsid w:val="003F58FD"/>
    <w:rsid w:val="0040341C"/>
    <w:rsid w:val="0044790B"/>
    <w:rsid w:val="0045526D"/>
    <w:rsid w:val="00456867"/>
    <w:rsid w:val="00466880"/>
    <w:rsid w:val="004740C9"/>
    <w:rsid w:val="004846EF"/>
    <w:rsid w:val="004971C1"/>
    <w:rsid w:val="004A520C"/>
    <w:rsid w:val="004A58D2"/>
    <w:rsid w:val="004A5D3D"/>
    <w:rsid w:val="004A5DBD"/>
    <w:rsid w:val="004A7DBF"/>
    <w:rsid w:val="004B114C"/>
    <w:rsid w:val="004B1F49"/>
    <w:rsid w:val="004B2B0C"/>
    <w:rsid w:val="004B3410"/>
    <w:rsid w:val="004B70EF"/>
    <w:rsid w:val="004C65D7"/>
    <w:rsid w:val="004F0FDA"/>
    <w:rsid w:val="004F21C7"/>
    <w:rsid w:val="004F752B"/>
    <w:rsid w:val="00506203"/>
    <w:rsid w:val="00510BD5"/>
    <w:rsid w:val="00517329"/>
    <w:rsid w:val="005174BA"/>
    <w:rsid w:val="0052050F"/>
    <w:rsid w:val="00520B52"/>
    <w:rsid w:val="005232BD"/>
    <w:rsid w:val="00523C0B"/>
    <w:rsid w:val="00544F58"/>
    <w:rsid w:val="005636C7"/>
    <w:rsid w:val="00575D68"/>
    <w:rsid w:val="00585B9C"/>
    <w:rsid w:val="005926D5"/>
    <w:rsid w:val="00592FD6"/>
    <w:rsid w:val="005B089F"/>
    <w:rsid w:val="005B1698"/>
    <w:rsid w:val="005C1807"/>
    <w:rsid w:val="005C6AE1"/>
    <w:rsid w:val="005C7A0B"/>
    <w:rsid w:val="005D2320"/>
    <w:rsid w:val="005E4E62"/>
    <w:rsid w:val="005F148F"/>
    <w:rsid w:val="005F6947"/>
    <w:rsid w:val="0060565E"/>
    <w:rsid w:val="00620FC4"/>
    <w:rsid w:val="00622BF4"/>
    <w:rsid w:val="00624707"/>
    <w:rsid w:val="006355FC"/>
    <w:rsid w:val="00641275"/>
    <w:rsid w:val="0064176F"/>
    <w:rsid w:val="0064663C"/>
    <w:rsid w:val="00674E76"/>
    <w:rsid w:val="00674E98"/>
    <w:rsid w:val="00677A29"/>
    <w:rsid w:val="00682D46"/>
    <w:rsid w:val="006A05A8"/>
    <w:rsid w:val="006A5C61"/>
    <w:rsid w:val="006C39B1"/>
    <w:rsid w:val="006D2E51"/>
    <w:rsid w:val="006D65F9"/>
    <w:rsid w:val="006E754B"/>
    <w:rsid w:val="006E77CB"/>
    <w:rsid w:val="006F0F33"/>
    <w:rsid w:val="006F21DC"/>
    <w:rsid w:val="006F5B87"/>
    <w:rsid w:val="007004CB"/>
    <w:rsid w:val="00707B60"/>
    <w:rsid w:val="0071527D"/>
    <w:rsid w:val="00731BC9"/>
    <w:rsid w:val="00731ECC"/>
    <w:rsid w:val="0073285B"/>
    <w:rsid w:val="00740B27"/>
    <w:rsid w:val="00755A14"/>
    <w:rsid w:val="00780E11"/>
    <w:rsid w:val="007843BD"/>
    <w:rsid w:val="00786245"/>
    <w:rsid w:val="0078662C"/>
    <w:rsid w:val="007975CB"/>
    <w:rsid w:val="007975E0"/>
    <w:rsid w:val="007A31CF"/>
    <w:rsid w:val="007B102C"/>
    <w:rsid w:val="007C0770"/>
    <w:rsid w:val="007D0988"/>
    <w:rsid w:val="007D0FDA"/>
    <w:rsid w:val="007D541C"/>
    <w:rsid w:val="007E2CF3"/>
    <w:rsid w:val="007E728F"/>
    <w:rsid w:val="007F135E"/>
    <w:rsid w:val="007F2239"/>
    <w:rsid w:val="007F2AC0"/>
    <w:rsid w:val="00800074"/>
    <w:rsid w:val="00803632"/>
    <w:rsid w:val="008145F2"/>
    <w:rsid w:val="0081556D"/>
    <w:rsid w:val="00816D75"/>
    <w:rsid w:val="008201F9"/>
    <w:rsid w:val="00835BA1"/>
    <w:rsid w:val="00842327"/>
    <w:rsid w:val="00842584"/>
    <w:rsid w:val="008474A3"/>
    <w:rsid w:val="00850D40"/>
    <w:rsid w:val="00851D1B"/>
    <w:rsid w:val="00857DD6"/>
    <w:rsid w:val="00860C29"/>
    <w:rsid w:val="008702A2"/>
    <w:rsid w:val="00871B32"/>
    <w:rsid w:val="00884615"/>
    <w:rsid w:val="008850C8"/>
    <w:rsid w:val="00896A37"/>
    <w:rsid w:val="008A7271"/>
    <w:rsid w:val="008B2FC2"/>
    <w:rsid w:val="008B7F79"/>
    <w:rsid w:val="008C17A4"/>
    <w:rsid w:val="008D3ABB"/>
    <w:rsid w:val="00904836"/>
    <w:rsid w:val="0091099E"/>
    <w:rsid w:val="00910DEB"/>
    <w:rsid w:val="00911F16"/>
    <w:rsid w:val="00914DF9"/>
    <w:rsid w:val="009154C5"/>
    <w:rsid w:val="00916721"/>
    <w:rsid w:val="0091772D"/>
    <w:rsid w:val="009232BD"/>
    <w:rsid w:val="009257DD"/>
    <w:rsid w:val="00930BDD"/>
    <w:rsid w:val="00935D89"/>
    <w:rsid w:val="00947EA3"/>
    <w:rsid w:val="009560C2"/>
    <w:rsid w:val="00971DD3"/>
    <w:rsid w:val="0097242B"/>
    <w:rsid w:val="009874B1"/>
    <w:rsid w:val="00987B81"/>
    <w:rsid w:val="00993A43"/>
    <w:rsid w:val="00997A99"/>
    <w:rsid w:val="009A303F"/>
    <w:rsid w:val="009A31C6"/>
    <w:rsid w:val="009A5847"/>
    <w:rsid w:val="009A6878"/>
    <w:rsid w:val="009A7392"/>
    <w:rsid w:val="009B056E"/>
    <w:rsid w:val="009B085A"/>
    <w:rsid w:val="009B1C09"/>
    <w:rsid w:val="009B5BE2"/>
    <w:rsid w:val="009C18CC"/>
    <w:rsid w:val="009C4631"/>
    <w:rsid w:val="009D190D"/>
    <w:rsid w:val="009E1A2A"/>
    <w:rsid w:val="009E20A0"/>
    <w:rsid w:val="009E29E2"/>
    <w:rsid w:val="009E7D81"/>
    <w:rsid w:val="009F16C0"/>
    <w:rsid w:val="00A30826"/>
    <w:rsid w:val="00A468F2"/>
    <w:rsid w:val="00A544B3"/>
    <w:rsid w:val="00A60018"/>
    <w:rsid w:val="00A6082D"/>
    <w:rsid w:val="00A6454B"/>
    <w:rsid w:val="00A67D3E"/>
    <w:rsid w:val="00A70F6C"/>
    <w:rsid w:val="00A73F26"/>
    <w:rsid w:val="00A77137"/>
    <w:rsid w:val="00A812EA"/>
    <w:rsid w:val="00A82D6A"/>
    <w:rsid w:val="00A96AC9"/>
    <w:rsid w:val="00AA0611"/>
    <w:rsid w:val="00AA1B7B"/>
    <w:rsid w:val="00AA3FB2"/>
    <w:rsid w:val="00AA4D9E"/>
    <w:rsid w:val="00AB10E8"/>
    <w:rsid w:val="00AB561A"/>
    <w:rsid w:val="00AB5AB6"/>
    <w:rsid w:val="00AC2F0B"/>
    <w:rsid w:val="00AD0056"/>
    <w:rsid w:val="00AD1FC4"/>
    <w:rsid w:val="00AE4755"/>
    <w:rsid w:val="00AF0879"/>
    <w:rsid w:val="00AF7A19"/>
    <w:rsid w:val="00B05DA3"/>
    <w:rsid w:val="00B174C1"/>
    <w:rsid w:val="00B1782B"/>
    <w:rsid w:val="00B24069"/>
    <w:rsid w:val="00B2433A"/>
    <w:rsid w:val="00B30BEE"/>
    <w:rsid w:val="00B31D87"/>
    <w:rsid w:val="00B32FBB"/>
    <w:rsid w:val="00B400E6"/>
    <w:rsid w:val="00B44A45"/>
    <w:rsid w:val="00B4677C"/>
    <w:rsid w:val="00B47450"/>
    <w:rsid w:val="00B5257D"/>
    <w:rsid w:val="00B53C36"/>
    <w:rsid w:val="00B53C7D"/>
    <w:rsid w:val="00B65235"/>
    <w:rsid w:val="00B726AE"/>
    <w:rsid w:val="00B72D57"/>
    <w:rsid w:val="00B74EE0"/>
    <w:rsid w:val="00B7674B"/>
    <w:rsid w:val="00B8354B"/>
    <w:rsid w:val="00B84D5E"/>
    <w:rsid w:val="00B947EC"/>
    <w:rsid w:val="00BA0BAB"/>
    <w:rsid w:val="00BC0347"/>
    <w:rsid w:val="00BC6214"/>
    <w:rsid w:val="00BD5CF4"/>
    <w:rsid w:val="00C13DFC"/>
    <w:rsid w:val="00C163C9"/>
    <w:rsid w:val="00C20EA4"/>
    <w:rsid w:val="00C20FA9"/>
    <w:rsid w:val="00C25F6F"/>
    <w:rsid w:val="00C311F1"/>
    <w:rsid w:val="00C313BB"/>
    <w:rsid w:val="00C32B09"/>
    <w:rsid w:val="00C35648"/>
    <w:rsid w:val="00C522DD"/>
    <w:rsid w:val="00C52B16"/>
    <w:rsid w:val="00C5533F"/>
    <w:rsid w:val="00C66B4B"/>
    <w:rsid w:val="00C73A69"/>
    <w:rsid w:val="00C76670"/>
    <w:rsid w:val="00C80F4A"/>
    <w:rsid w:val="00C81E2F"/>
    <w:rsid w:val="00C90596"/>
    <w:rsid w:val="00CB433F"/>
    <w:rsid w:val="00CB4DC4"/>
    <w:rsid w:val="00CB703F"/>
    <w:rsid w:val="00CC072D"/>
    <w:rsid w:val="00CD0C9F"/>
    <w:rsid w:val="00CD0F6F"/>
    <w:rsid w:val="00CD61A6"/>
    <w:rsid w:val="00CD7AE9"/>
    <w:rsid w:val="00CD7E4A"/>
    <w:rsid w:val="00CF0A14"/>
    <w:rsid w:val="00D058D8"/>
    <w:rsid w:val="00D2082A"/>
    <w:rsid w:val="00D25B2A"/>
    <w:rsid w:val="00D27390"/>
    <w:rsid w:val="00D374A0"/>
    <w:rsid w:val="00D46164"/>
    <w:rsid w:val="00D51321"/>
    <w:rsid w:val="00D61814"/>
    <w:rsid w:val="00D62638"/>
    <w:rsid w:val="00D637BF"/>
    <w:rsid w:val="00D63FDB"/>
    <w:rsid w:val="00D6620F"/>
    <w:rsid w:val="00D763E8"/>
    <w:rsid w:val="00D764A7"/>
    <w:rsid w:val="00D9133F"/>
    <w:rsid w:val="00D9731C"/>
    <w:rsid w:val="00D97425"/>
    <w:rsid w:val="00DA3F58"/>
    <w:rsid w:val="00DA56D9"/>
    <w:rsid w:val="00DA7F89"/>
    <w:rsid w:val="00DB077D"/>
    <w:rsid w:val="00DB2F89"/>
    <w:rsid w:val="00DB47B5"/>
    <w:rsid w:val="00DB561C"/>
    <w:rsid w:val="00DB792D"/>
    <w:rsid w:val="00DC6F13"/>
    <w:rsid w:val="00DD5C05"/>
    <w:rsid w:val="00DE09AB"/>
    <w:rsid w:val="00DE4FEB"/>
    <w:rsid w:val="00DE6DC9"/>
    <w:rsid w:val="00DF6567"/>
    <w:rsid w:val="00DF7145"/>
    <w:rsid w:val="00E07EF5"/>
    <w:rsid w:val="00E207CA"/>
    <w:rsid w:val="00E231CB"/>
    <w:rsid w:val="00E23539"/>
    <w:rsid w:val="00E2686D"/>
    <w:rsid w:val="00E26CCC"/>
    <w:rsid w:val="00E3189C"/>
    <w:rsid w:val="00E3680D"/>
    <w:rsid w:val="00E468D2"/>
    <w:rsid w:val="00E50922"/>
    <w:rsid w:val="00E51A3F"/>
    <w:rsid w:val="00E51CCD"/>
    <w:rsid w:val="00E570E1"/>
    <w:rsid w:val="00E579DC"/>
    <w:rsid w:val="00E61548"/>
    <w:rsid w:val="00E718DB"/>
    <w:rsid w:val="00E73245"/>
    <w:rsid w:val="00E80D4B"/>
    <w:rsid w:val="00E94CC7"/>
    <w:rsid w:val="00E9673A"/>
    <w:rsid w:val="00EA0EF3"/>
    <w:rsid w:val="00EA69AC"/>
    <w:rsid w:val="00EB4733"/>
    <w:rsid w:val="00EB64E9"/>
    <w:rsid w:val="00EC2675"/>
    <w:rsid w:val="00ED2E7D"/>
    <w:rsid w:val="00EF3150"/>
    <w:rsid w:val="00F026DC"/>
    <w:rsid w:val="00F06375"/>
    <w:rsid w:val="00F114FE"/>
    <w:rsid w:val="00F22825"/>
    <w:rsid w:val="00F4109D"/>
    <w:rsid w:val="00F412B1"/>
    <w:rsid w:val="00F510DD"/>
    <w:rsid w:val="00F5610F"/>
    <w:rsid w:val="00F61EE8"/>
    <w:rsid w:val="00F67FDD"/>
    <w:rsid w:val="00F71CD3"/>
    <w:rsid w:val="00F74BF8"/>
    <w:rsid w:val="00F80D99"/>
    <w:rsid w:val="00F94F8A"/>
    <w:rsid w:val="00FA3BC7"/>
    <w:rsid w:val="00FB66C6"/>
    <w:rsid w:val="00FB77B1"/>
    <w:rsid w:val="00FC0652"/>
    <w:rsid w:val="00FC07D3"/>
    <w:rsid w:val="00FC258F"/>
    <w:rsid w:val="00FC6034"/>
    <w:rsid w:val="00FE204C"/>
    <w:rsid w:val="00FE28A9"/>
    <w:rsid w:val="00FF0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2F"/>
    <w:pPr>
      <w:spacing w:before="160" w:after="0"/>
    </w:pPr>
    <w:rPr>
      <w:color w:val="4A4A49"/>
      <w:lang w:val="en-GB"/>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styleId="UnresolvedMention">
    <w:name w:val="Unresolved Mention"/>
    <w:basedOn w:val="DefaultParagraphFont"/>
    <w:uiPriority w:val="99"/>
    <w:semiHidden/>
    <w:unhideWhenUsed/>
    <w:rsid w:val="001E0007"/>
    <w:rPr>
      <w:color w:val="605E5C"/>
      <w:shd w:val="clear" w:color="auto" w:fill="E1DFDD"/>
    </w:rPr>
  </w:style>
  <w:style w:type="paragraph" w:styleId="NormalWeb">
    <w:name w:val="Normal (Web)"/>
    <w:basedOn w:val="Normal"/>
    <w:uiPriority w:val="99"/>
    <w:unhideWhenUsed/>
    <w:rsid w:val="006F21D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F21DC"/>
  </w:style>
  <w:style w:type="character" w:styleId="CommentReference">
    <w:name w:val="annotation reference"/>
    <w:basedOn w:val="DefaultParagraphFont"/>
    <w:uiPriority w:val="99"/>
    <w:semiHidden/>
    <w:unhideWhenUsed/>
    <w:rsid w:val="00800074"/>
    <w:rPr>
      <w:sz w:val="16"/>
      <w:szCs w:val="16"/>
    </w:rPr>
  </w:style>
  <w:style w:type="paragraph" w:styleId="CommentText">
    <w:name w:val="annotation text"/>
    <w:basedOn w:val="Normal"/>
    <w:link w:val="CommentTextChar"/>
    <w:uiPriority w:val="99"/>
    <w:semiHidden/>
    <w:unhideWhenUsed/>
    <w:rsid w:val="00800074"/>
    <w:pPr>
      <w:spacing w:line="240" w:lineRule="auto"/>
    </w:pPr>
    <w:rPr>
      <w:sz w:val="20"/>
      <w:szCs w:val="20"/>
    </w:rPr>
  </w:style>
  <w:style w:type="character" w:customStyle="1" w:styleId="CommentTextChar">
    <w:name w:val="Comment Text Char"/>
    <w:basedOn w:val="DefaultParagraphFont"/>
    <w:link w:val="CommentText"/>
    <w:uiPriority w:val="99"/>
    <w:semiHidden/>
    <w:rsid w:val="00800074"/>
    <w:rPr>
      <w:color w:val="4A4A49"/>
      <w:sz w:val="20"/>
      <w:szCs w:val="20"/>
      <w:lang w:val="en-GB"/>
    </w:rPr>
  </w:style>
  <w:style w:type="paragraph" w:styleId="CommentSubject">
    <w:name w:val="annotation subject"/>
    <w:basedOn w:val="CommentText"/>
    <w:next w:val="CommentText"/>
    <w:link w:val="CommentSubjectChar"/>
    <w:uiPriority w:val="99"/>
    <w:semiHidden/>
    <w:unhideWhenUsed/>
    <w:rsid w:val="00800074"/>
    <w:rPr>
      <w:b/>
      <w:bCs/>
    </w:rPr>
  </w:style>
  <w:style w:type="character" w:customStyle="1" w:styleId="CommentSubjectChar">
    <w:name w:val="Comment Subject Char"/>
    <w:basedOn w:val="CommentTextChar"/>
    <w:link w:val="CommentSubject"/>
    <w:uiPriority w:val="99"/>
    <w:semiHidden/>
    <w:rsid w:val="00800074"/>
    <w:rPr>
      <w:b/>
      <w:bCs/>
      <w:color w:val="4A4A4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7355">
      <w:bodyDiv w:val="1"/>
      <w:marLeft w:val="0"/>
      <w:marRight w:val="0"/>
      <w:marTop w:val="0"/>
      <w:marBottom w:val="0"/>
      <w:divBdr>
        <w:top w:val="none" w:sz="0" w:space="0" w:color="auto"/>
        <w:left w:val="none" w:sz="0" w:space="0" w:color="auto"/>
        <w:bottom w:val="none" w:sz="0" w:space="0" w:color="auto"/>
        <w:right w:val="none" w:sz="0" w:space="0" w:color="auto"/>
      </w:divBdr>
    </w:div>
    <w:div w:id="274945362">
      <w:bodyDiv w:val="1"/>
      <w:marLeft w:val="0"/>
      <w:marRight w:val="0"/>
      <w:marTop w:val="0"/>
      <w:marBottom w:val="0"/>
      <w:divBdr>
        <w:top w:val="none" w:sz="0" w:space="0" w:color="auto"/>
        <w:left w:val="none" w:sz="0" w:space="0" w:color="auto"/>
        <w:bottom w:val="none" w:sz="0" w:space="0" w:color="auto"/>
        <w:right w:val="none" w:sz="0" w:space="0" w:color="auto"/>
      </w:divBdr>
    </w:div>
    <w:div w:id="677657569">
      <w:bodyDiv w:val="1"/>
      <w:marLeft w:val="0"/>
      <w:marRight w:val="0"/>
      <w:marTop w:val="0"/>
      <w:marBottom w:val="0"/>
      <w:divBdr>
        <w:top w:val="none" w:sz="0" w:space="0" w:color="auto"/>
        <w:left w:val="none" w:sz="0" w:space="0" w:color="auto"/>
        <w:bottom w:val="none" w:sz="0" w:space="0" w:color="auto"/>
        <w:right w:val="none" w:sz="0" w:space="0" w:color="auto"/>
      </w:divBdr>
    </w:div>
    <w:div w:id="1343705855">
      <w:bodyDiv w:val="1"/>
      <w:marLeft w:val="0"/>
      <w:marRight w:val="0"/>
      <w:marTop w:val="0"/>
      <w:marBottom w:val="0"/>
      <w:divBdr>
        <w:top w:val="none" w:sz="0" w:space="0" w:color="auto"/>
        <w:left w:val="none" w:sz="0" w:space="0" w:color="auto"/>
        <w:bottom w:val="none" w:sz="0" w:space="0" w:color="auto"/>
        <w:right w:val="none" w:sz="0" w:space="0" w:color="auto"/>
      </w:divBdr>
    </w:div>
    <w:div w:id="1875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sv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sv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png"/><Relationship Id="rId25" Type="http://schemas.openxmlformats.org/officeDocument/2006/relationships/hyperlink" Target="https://www.youtube.com/playlist?list=PL_BavLIXGWzA2HltWR0KfJ8mYSWybF68q"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chaeffler.co.uk/aftermarket" TargetMode="External"/><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pxpert.co.uk" TargetMode="External"/><Relationship Id="rId24" Type="http://schemas.openxmlformats.org/officeDocument/2006/relationships/image" Target="media/image8.sv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ura.mckenzie@schaeffler.com" TargetMode="External"/><Relationship Id="rId23" Type="http://schemas.openxmlformats.org/officeDocument/2006/relationships/image" Target="media/image7.png"/><Relationship Id="rId28" Type="http://schemas.openxmlformats.org/officeDocument/2006/relationships/hyperlink" Target="http://www.linkedin.com/company/schaeffl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repxpert.co.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ff.earl@schaeffler.com" TargetMode="External"/><Relationship Id="rId22" Type="http://schemas.openxmlformats.org/officeDocument/2006/relationships/hyperlink" Target="https://twitter.com/repxpert_uk/" TargetMode="External"/><Relationship Id="rId27" Type="http://schemas.openxmlformats.org/officeDocument/2006/relationships/image" Target="media/image10.svg"/><Relationship Id="rId30" Type="http://schemas.openxmlformats.org/officeDocument/2006/relationships/image" Target="media/image12.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86009EE60ED4439BC9FA4D2BF97787" ma:contentTypeVersion="10" ma:contentTypeDescription="Create a new document." ma:contentTypeScope="" ma:versionID="364197e07883703b7b35468f6d4b974b">
  <xsd:schema xmlns:xsd="http://www.w3.org/2001/XMLSchema" xmlns:xs="http://www.w3.org/2001/XMLSchema" xmlns:p="http://schemas.microsoft.com/office/2006/metadata/properties" xmlns:ns3="c35bd62f-0229-4fb6-86e9-099ec56fa532" targetNamespace="http://schemas.microsoft.com/office/2006/metadata/properties" ma:root="true" ma:fieldsID="7adc860ef49e49b0701b99b30f539d75" ns3:_="">
    <xsd:import namespace="c35bd62f-0229-4fb6-86e9-099ec56fa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bd62f-0229-4fb6-86e9-099ec56fa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0DECB-9913-4C36-AF3E-32B71F508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EEE8F-2B9E-41E9-8747-6756F37B2DF9}">
  <ds:schemaRefs>
    <ds:schemaRef ds:uri="http://schemas.openxmlformats.org/officeDocument/2006/bibliography"/>
  </ds:schemaRefs>
</ds:datastoreItem>
</file>

<file path=customXml/itemProps3.xml><?xml version="1.0" encoding="utf-8"?>
<ds:datastoreItem xmlns:ds="http://schemas.openxmlformats.org/officeDocument/2006/customXml" ds:itemID="{86213F20-9F95-47D6-BB41-67036E78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bd62f-0229-4fb6-86e9-099ec56fa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F74AA-C9B6-4E68-86B4-5A5A0B24C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2020-01-17T09:37:00Z</cp:lastPrinted>
  <dcterms:created xsi:type="dcterms:W3CDTF">2020-12-08T18:25:00Z</dcterms:created>
  <dcterms:modified xsi:type="dcterms:W3CDTF">2020-12-08T18:25:00Z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0x0101000486009EE60ED4439BC9FA4D2BF97787</vt:lpwstr>
  </property>
</Properties>
</file>