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33108C" w:rsidRPr="00C94A6D" w14:paraId="02E367EB" w14:textId="77777777" w:rsidTr="0033108C">
        <w:trPr>
          <w:trHeight w:hRule="exact" w:val="595"/>
        </w:trPr>
        <w:tc>
          <w:tcPr>
            <w:tcW w:w="7370" w:type="dxa"/>
          </w:tcPr>
          <w:p w14:paraId="387530F1" w14:textId="2957EDF6" w:rsidR="0033108C" w:rsidRPr="00C94A6D" w:rsidRDefault="0033108C" w:rsidP="00A25928">
            <w:pPr>
              <w:pStyle w:val="Heading1"/>
              <w:outlineLvl w:val="0"/>
              <w:rPr>
                <w:color w:val="E61E35" w:themeColor="accent3"/>
                <w:sz w:val="20"/>
                <w:szCs w:val="20"/>
                <w:lang w:val="de-DE"/>
              </w:rPr>
            </w:pPr>
          </w:p>
        </w:tc>
      </w:tr>
      <w:tr w:rsidR="00D62638" w:rsidRPr="000175C3" w14:paraId="2AED4F38" w14:textId="77777777" w:rsidTr="0002077D">
        <w:trPr>
          <w:trHeight w:hRule="exact" w:val="1758"/>
        </w:trPr>
        <w:tc>
          <w:tcPr>
            <w:tcW w:w="7370" w:type="dxa"/>
          </w:tcPr>
          <w:p w14:paraId="69165818" w14:textId="77777777" w:rsidR="00485DCC" w:rsidRPr="008A4131" w:rsidRDefault="00C94A6D" w:rsidP="00A25928">
            <w:pPr>
              <w:rPr>
                <w:rFonts w:asciiTheme="majorHAnsi" w:eastAsiaTheme="majorEastAsia" w:hAnsiTheme="majorHAnsi" w:cstheme="majorBidi"/>
                <w:b/>
                <w:sz w:val="28"/>
                <w:szCs w:val="28"/>
              </w:rPr>
            </w:pPr>
            <w:bookmarkStart w:id="0" w:name="_Hlk47682878"/>
            <w:r w:rsidRPr="00E622E7">
              <w:rPr>
                <w:rFonts w:asciiTheme="majorHAnsi" w:hAnsiTheme="majorHAnsi"/>
                <w:b/>
                <w:sz w:val="28"/>
              </w:rPr>
              <w:t xml:space="preserve">         </w:t>
            </w:r>
            <w:r w:rsidR="00292638">
              <w:rPr>
                <w:rFonts w:asciiTheme="majorHAnsi" w:hAnsiTheme="majorHAnsi"/>
                <w:b/>
                <w:sz w:val="28"/>
              </w:rPr>
              <w:t xml:space="preserve">Schaeffler </w:t>
            </w:r>
            <w:r w:rsidR="004A2769">
              <w:rPr>
                <w:rFonts w:asciiTheme="majorHAnsi" w:hAnsiTheme="majorHAnsi"/>
                <w:b/>
                <w:sz w:val="28"/>
              </w:rPr>
              <w:t xml:space="preserve">closes </w:t>
            </w:r>
            <w:r w:rsidR="00292638">
              <w:rPr>
                <w:rFonts w:asciiTheme="majorHAnsi" w:hAnsiTheme="majorHAnsi"/>
                <w:b/>
                <w:sz w:val="28"/>
              </w:rPr>
              <w:t xml:space="preserve">2020 with strong </w:t>
            </w:r>
            <w:r w:rsidR="00F10D8C">
              <w:rPr>
                <w:rFonts w:asciiTheme="majorHAnsi" w:hAnsiTheme="majorHAnsi"/>
                <w:b/>
                <w:sz w:val="28"/>
              </w:rPr>
              <w:t>fourth</w:t>
            </w:r>
            <w:r w:rsidR="00292638">
              <w:rPr>
                <w:rFonts w:asciiTheme="majorHAnsi" w:hAnsiTheme="majorHAnsi"/>
                <w:b/>
                <w:sz w:val="28"/>
              </w:rPr>
              <w:t xml:space="preserve"> quarter</w:t>
            </w:r>
          </w:p>
          <w:bookmarkEnd w:id="0"/>
          <w:p w14:paraId="193E73A1" w14:textId="77777777" w:rsidR="00737355" w:rsidRPr="000175C3" w:rsidRDefault="00737355" w:rsidP="00A25928">
            <w:pPr>
              <w:rPr>
                <w:rFonts w:asciiTheme="majorHAnsi" w:eastAsiaTheme="majorEastAsia" w:hAnsiTheme="majorHAnsi" w:cstheme="majorBidi"/>
                <w:b/>
                <w:sz w:val="28"/>
                <w:szCs w:val="28"/>
              </w:rPr>
            </w:pPr>
          </w:p>
          <w:p w14:paraId="0BE6A8FB" w14:textId="77777777" w:rsidR="00D62638" w:rsidRPr="000175C3" w:rsidRDefault="00D62638" w:rsidP="00A25928"/>
        </w:tc>
      </w:tr>
      <w:tr w:rsidR="00AB5AB6" w:rsidRPr="000175C3" w14:paraId="7112D057" w14:textId="77777777" w:rsidTr="00D764A7">
        <w:trPr>
          <w:trHeight w:hRule="exact" w:val="737"/>
        </w:trPr>
        <w:tc>
          <w:tcPr>
            <w:tcW w:w="7370" w:type="dxa"/>
          </w:tcPr>
          <w:p w14:paraId="6D04ED5C" w14:textId="77777777" w:rsidR="00AB5AB6" w:rsidRPr="000175C3" w:rsidRDefault="00AB5AB6" w:rsidP="00A25928"/>
        </w:tc>
      </w:tr>
    </w:tbl>
    <w:p w14:paraId="79CF856D" w14:textId="41480120" w:rsidR="00F057A3" w:rsidRPr="00F10D8C" w:rsidRDefault="003D2128" w:rsidP="00A25928">
      <w:pPr>
        <w:pStyle w:val="ListParagraph"/>
      </w:pPr>
      <w:r>
        <w:t xml:space="preserve">Schaeffler Group weathers crisis well despite </w:t>
      </w:r>
      <w:r w:rsidR="004A2769">
        <w:t>constant</w:t>
      </w:r>
      <w:r w:rsidR="0077119E">
        <w:t xml:space="preserve"> </w:t>
      </w:r>
      <w:r w:rsidR="004A2769">
        <w:t xml:space="preserve">currency </w:t>
      </w:r>
      <w:r w:rsidR="00F10D8C">
        <w:t>revenue decline of 10.4 percent</w:t>
      </w:r>
    </w:p>
    <w:p w14:paraId="293E8F20" w14:textId="77777777" w:rsidR="00F057A3" w:rsidRDefault="00177960" w:rsidP="00A25928">
      <w:pPr>
        <w:pStyle w:val="ListParagraph"/>
      </w:pPr>
      <w:r>
        <w:t xml:space="preserve">Diversification with three divisions and four regions </w:t>
      </w:r>
      <w:r w:rsidR="004A2769">
        <w:t xml:space="preserve">drives </w:t>
      </w:r>
      <w:r>
        <w:t>operating earnings (EBIT margin before special items at 6.4</w:t>
      </w:r>
      <w:r w:rsidR="00F10D8C">
        <w:t> percent</w:t>
      </w:r>
      <w:r w:rsidR="004A2769">
        <w:t>; prior year: 8.1</w:t>
      </w:r>
      <w:r w:rsidR="003069D2">
        <w:t> </w:t>
      </w:r>
      <w:r w:rsidR="004A2769">
        <w:t>percent</w:t>
      </w:r>
      <w:r>
        <w:t>)</w:t>
      </w:r>
    </w:p>
    <w:p w14:paraId="60058116" w14:textId="77777777" w:rsidR="00A21D4A" w:rsidRPr="00063033" w:rsidRDefault="00576D72" w:rsidP="00A25928">
      <w:pPr>
        <w:pStyle w:val="ListParagraph"/>
      </w:pPr>
      <w:r>
        <w:t xml:space="preserve">Free cash flow </w:t>
      </w:r>
      <w:r w:rsidRPr="00063033">
        <w:t>before cash in</w:t>
      </w:r>
      <w:r w:rsidR="00F7608B" w:rsidRPr="00063033">
        <w:t>-</w:t>
      </w:r>
      <w:r w:rsidRPr="00063033">
        <w:t xml:space="preserve"> and outflows for M&amp;A activities of 539</w:t>
      </w:r>
      <w:r w:rsidR="00F10D8C" w:rsidRPr="00063033">
        <w:t> million</w:t>
      </w:r>
      <w:r w:rsidRPr="00063033">
        <w:t xml:space="preserve"> euros ahead of prior year (</w:t>
      </w:r>
      <w:r w:rsidR="004A2769" w:rsidRPr="00063033">
        <w:t>prior year</w:t>
      </w:r>
      <w:r w:rsidRPr="00063033">
        <w:t>: 473</w:t>
      </w:r>
      <w:r w:rsidR="00F10D8C" w:rsidRPr="00063033">
        <w:t> million</w:t>
      </w:r>
      <w:r w:rsidRPr="00063033">
        <w:t xml:space="preserve"> euros)</w:t>
      </w:r>
    </w:p>
    <w:p w14:paraId="4E360740" w14:textId="77777777" w:rsidR="00FB071B" w:rsidRPr="00063033" w:rsidRDefault="00576D72" w:rsidP="00A25928">
      <w:pPr>
        <w:pStyle w:val="ListParagraph"/>
      </w:pPr>
      <w:r w:rsidRPr="00063033">
        <w:t>Proposed dividend of 25 cents per common non</w:t>
      </w:r>
      <w:r w:rsidR="00F7608B" w:rsidRPr="00063033">
        <w:t>-</w:t>
      </w:r>
      <w:r w:rsidRPr="00063033">
        <w:t>voting share</w:t>
      </w:r>
    </w:p>
    <w:p w14:paraId="09C10F6D" w14:textId="77777777" w:rsidR="00576D72" w:rsidRPr="00063033" w:rsidRDefault="003D2128" w:rsidP="00A25928">
      <w:pPr>
        <w:pStyle w:val="ListParagraph"/>
      </w:pPr>
      <w:r w:rsidRPr="00063033">
        <w:t xml:space="preserve">Guidance based on </w:t>
      </w:r>
      <w:r w:rsidR="00C94A6D">
        <w:t>cautious</w:t>
      </w:r>
      <w:r w:rsidRPr="00063033">
        <w:t xml:space="preserve"> market </w:t>
      </w:r>
      <w:r w:rsidR="004A2769" w:rsidRPr="00063033">
        <w:t>assessment</w:t>
      </w:r>
    </w:p>
    <w:p w14:paraId="4E796EA9" w14:textId="77777777" w:rsidR="00001A27" w:rsidRPr="00063033" w:rsidRDefault="0045058D" w:rsidP="00A25928">
      <w:pPr>
        <w:rPr>
          <w:rFonts w:ascii="Calibri" w:hAnsi="Calibri"/>
        </w:rPr>
      </w:pPr>
      <w:r w:rsidRPr="00063033">
        <w:t>Herzogenaurach | March 4, 2021 |</w:t>
      </w:r>
      <w:r w:rsidRPr="00063033">
        <w:rPr>
          <w:rFonts w:ascii="Calibri" w:hAnsi="Calibri"/>
        </w:rPr>
        <w:t xml:space="preserve">Global automotive and industrial supplier Schaeffler presented its results for 2020 today. The global coronavirus pandemic resulted in a significant </w:t>
      </w:r>
      <w:r w:rsidR="00F7608B" w:rsidRPr="00063033">
        <w:rPr>
          <w:rFonts w:ascii="Calibri" w:hAnsi="Calibri"/>
        </w:rPr>
        <w:t xml:space="preserve">revenue </w:t>
      </w:r>
      <w:r w:rsidRPr="00063033">
        <w:rPr>
          <w:rFonts w:ascii="Calibri" w:hAnsi="Calibri"/>
        </w:rPr>
        <w:t xml:space="preserve">decline. The Schaeffler Group’s revenue amounted to approximately 12.6 billion euros (prior year: approximately 14.4 billion euros). </w:t>
      </w:r>
      <w:r w:rsidR="009316EA" w:rsidRPr="00063033">
        <w:rPr>
          <w:rFonts w:ascii="Calibri" w:hAnsi="Calibri"/>
        </w:rPr>
        <w:t>At constant currency</w:t>
      </w:r>
      <w:r w:rsidRPr="00063033">
        <w:rPr>
          <w:rFonts w:ascii="Calibri" w:hAnsi="Calibri"/>
        </w:rPr>
        <w:t xml:space="preserve">, revenue </w:t>
      </w:r>
      <w:r w:rsidR="00F7608B" w:rsidRPr="00063033">
        <w:rPr>
          <w:rFonts w:ascii="Calibri" w:hAnsi="Calibri"/>
        </w:rPr>
        <w:t>was down</w:t>
      </w:r>
      <w:r w:rsidRPr="00063033">
        <w:rPr>
          <w:rFonts w:ascii="Calibri" w:hAnsi="Calibri"/>
        </w:rPr>
        <w:t xml:space="preserve"> 10.4</w:t>
      </w:r>
      <w:r w:rsidR="00F10D8C" w:rsidRPr="00063033">
        <w:rPr>
          <w:rFonts w:ascii="Calibri" w:hAnsi="Calibri"/>
        </w:rPr>
        <w:t> percent</w:t>
      </w:r>
      <w:r w:rsidRPr="00063033">
        <w:rPr>
          <w:rFonts w:ascii="Calibri" w:hAnsi="Calibri"/>
        </w:rPr>
        <w:t xml:space="preserve">. All divisions were affected by the decrease. However, the second half of the year, and especially the fourth quarter, improved noticeably over the first six months with all three divisions contributing. Of the four regions, China recovered most rapidly, closing the year </w:t>
      </w:r>
      <w:r w:rsidR="00F7608B" w:rsidRPr="00063033">
        <w:rPr>
          <w:rFonts w:ascii="Calibri" w:hAnsi="Calibri"/>
        </w:rPr>
        <w:t>with 8.7 percent in additional revenue at constant currency</w:t>
      </w:r>
      <w:r w:rsidRPr="00063033">
        <w:rPr>
          <w:rFonts w:ascii="Calibri" w:hAnsi="Calibri"/>
        </w:rPr>
        <w:t>. In the Americas, Europe, and Asia/Pacific regions, revenue declined.</w:t>
      </w:r>
    </w:p>
    <w:p w14:paraId="23972DBA" w14:textId="77777777" w:rsidR="00625BE8" w:rsidRPr="00063033" w:rsidRDefault="001C4343" w:rsidP="00A25928">
      <w:pPr>
        <w:rPr>
          <w:rFonts w:ascii="Calibri" w:hAnsi="Calibri" w:cs="Calibri"/>
        </w:rPr>
      </w:pPr>
      <w:r w:rsidRPr="00063033">
        <w:rPr>
          <w:rFonts w:ascii="Calibri" w:hAnsi="Calibri"/>
        </w:rPr>
        <w:t>Earnings before financial result, income (loss) from equity</w:t>
      </w:r>
      <w:r w:rsidR="00F7608B" w:rsidRPr="00063033">
        <w:rPr>
          <w:rFonts w:ascii="Calibri" w:hAnsi="Calibri"/>
        </w:rPr>
        <w:t>-</w:t>
      </w:r>
      <w:r w:rsidRPr="00063033">
        <w:rPr>
          <w:rFonts w:ascii="Calibri" w:hAnsi="Calibri"/>
        </w:rPr>
        <w:t xml:space="preserve">method investees, and income taxes (EBIT) </w:t>
      </w:r>
      <w:r w:rsidR="00443EB9" w:rsidRPr="00063033">
        <w:rPr>
          <w:rFonts w:ascii="Calibri" w:hAnsi="Calibri"/>
        </w:rPr>
        <w:t>were</w:t>
      </w:r>
      <w:r w:rsidRPr="00063033">
        <w:rPr>
          <w:rFonts w:ascii="Calibri" w:hAnsi="Calibri"/>
        </w:rPr>
        <w:t xml:space="preserve"> adversely affected by 946</w:t>
      </w:r>
      <w:r w:rsidR="00F10D8C" w:rsidRPr="00063033">
        <w:rPr>
          <w:rFonts w:ascii="Calibri" w:hAnsi="Calibri"/>
        </w:rPr>
        <w:t> million</w:t>
      </w:r>
      <w:r w:rsidRPr="00063033">
        <w:rPr>
          <w:rFonts w:ascii="Calibri" w:hAnsi="Calibri"/>
        </w:rPr>
        <w:t xml:space="preserve"> euros in special items (prior year: 372</w:t>
      </w:r>
      <w:r w:rsidR="00F10D8C" w:rsidRPr="00063033">
        <w:rPr>
          <w:rFonts w:ascii="Calibri" w:hAnsi="Calibri"/>
        </w:rPr>
        <w:t> million</w:t>
      </w:r>
      <w:r w:rsidRPr="00063033">
        <w:rPr>
          <w:rFonts w:ascii="Calibri" w:hAnsi="Calibri"/>
        </w:rPr>
        <w:t xml:space="preserve"> euros).</w:t>
      </w:r>
      <w:r w:rsidR="00443EB9" w:rsidRPr="00063033">
        <w:rPr>
          <w:rFonts w:ascii="Calibri" w:hAnsi="Calibri"/>
        </w:rPr>
        <w:t xml:space="preserve"> S</w:t>
      </w:r>
      <w:r w:rsidRPr="00063033">
        <w:rPr>
          <w:rFonts w:ascii="Calibri" w:hAnsi="Calibri"/>
        </w:rPr>
        <w:t xml:space="preserve">pecial items related primarily to the expansion of the transformation and efficiency programs RACE (Automotive Technologies), GRIP (Automotive Aftermarket), and FIT (Industrial) established in 2019 as well as an impairment of goodwill allocated to the Automotive Technologies division, and resulted in </w:t>
      </w:r>
      <w:r w:rsidR="00F7608B" w:rsidRPr="00063033">
        <w:rPr>
          <w:rFonts w:ascii="Calibri" w:hAnsi="Calibri"/>
        </w:rPr>
        <w:t xml:space="preserve">EBIT of </w:t>
      </w:r>
      <w:r w:rsidR="00F7608B" w:rsidRPr="00063033">
        <w:rPr>
          <w:rFonts w:ascii="Calibri" w:hAnsi="Calibri"/>
        </w:rPr>
        <w:noBreakHyphen/>
      </w:r>
      <w:r w:rsidRPr="00063033">
        <w:rPr>
          <w:rFonts w:ascii="Calibri" w:hAnsi="Calibri"/>
        </w:rPr>
        <w:t>143</w:t>
      </w:r>
      <w:r w:rsidR="00F10D8C" w:rsidRPr="00063033">
        <w:rPr>
          <w:rFonts w:ascii="Calibri" w:hAnsi="Calibri"/>
        </w:rPr>
        <w:t> million</w:t>
      </w:r>
      <w:r w:rsidR="006847F5" w:rsidRPr="00063033">
        <w:rPr>
          <w:rFonts w:ascii="Calibri" w:hAnsi="Calibri"/>
        </w:rPr>
        <w:t xml:space="preserve"> euros (prior year: 790</w:t>
      </w:r>
      <w:r w:rsidR="00F10D8C" w:rsidRPr="00063033">
        <w:rPr>
          <w:rFonts w:ascii="Calibri" w:hAnsi="Calibri"/>
        </w:rPr>
        <w:t> million</w:t>
      </w:r>
      <w:r w:rsidRPr="00063033">
        <w:rPr>
          <w:rFonts w:ascii="Calibri" w:hAnsi="Calibri"/>
        </w:rPr>
        <w:t xml:space="preserve"> euros).</w:t>
      </w:r>
    </w:p>
    <w:p w14:paraId="79C1F45C" w14:textId="77777777" w:rsidR="001C4343" w:rsidRPr="00063033" w:rsidRDefault="00625BE8" w:rsidP="00A25928">
      <w:pPr>
        <w:rPr>
          <w:rFonts w:ascii="Calibri" w:hAnsi="Calibri" w:cs="Calibri"/>
        </w:rPr>
      </w:pPr>
      <w:r w:rsidRPr="00063033">
        <w:rPr>
          <w:rFonts w:ascii="Calibri" w:hAnsi="Calibri"/>
        </w:rPr>
        <w:t>Despite the decrease in revenue, the company’s EBIT margin before special items amounted to 6.4</w:t>
      </w:r>
      <w:r w:rsidR="00F10D8C" w:rsidRPr="00063033">
        <w:rPr>
          <w:rFonts w:ascii="Calibri" w:hAnsi="Calibri"/>
        </w:rPr>
        <w:t> percent</w:t>
      </w:r>
      <w:r w:rsidRPr="00063033">
        <w:rPr>
          <w:rFonts w:ascii="Calibri" w:hAnsi="Calibri"/>
        </w:rPr>
        <w:t xml:space="preserve"> (prior year: 8.1</w:t>
      </w:r>
      <w:r w:rsidR="00F10D8C" w:rsidRPr="00063033">
        <w:rPr>
          <w:rFonts w:ascii="Calibri" w:hAnsi="Calibri"/>
        </w:rPr>
        <w:t> percent</w:t>
      </w:r>
      <w:r w:rsidRPr="00063033">
        <w:rPr>
          <w:rFonts w:ascii="Calibri" w:hAnsi="Calibri"/>
        </w:rPr>
        <w:t>), demonstrating that the measures initiated under the divisional programs are making an impact. Following a weak first six months with an EBIT margin of 1.2</w:t>
      </w:r>
      <w:r w:rsidR="00F10D8C" w:rsidRPr="00063033">
        <w:rPr>
          <w:rFonts w:ascii="Calibri" w:hAnsi="Calibri"/>
        </w:rPr>
        <w:t> percent</w:t>
      </w:r>
      <w:r w:rsidRPr="00063033">
        <w:rPr>
          <w:rFonts w:ascii="Calibri" w:hAnsi="Calibri"/>
        </w:rPr>
        <w:t xml:space="preserve">, the EBIT margin </w:t>
      </w:r>
      <w:r w:rsidRPr="00063033">
        <w:rPr>
          <w:rFonts w:ascii="Calibri" w:hAnsi="Calibri"/>
        </w:rPr>
        <w:lastRenderedPageBreak/>
        <w:t>improved to 10.5</w:t>
      </w:r>
      <w:r w:rsidR="00F10D8C" w:rsidRPr="00063033">
        <w:rPr>
          <w:rFonts w:ascii="Calibri" w:hAnsi="Calibri"/>
        </w:rPr>
        <w:t> percent</w:t>
      </w:r>
      <w:r w:rsidRPr="00063033">
        <w:rPr>
          <w:rFonts w:ascii="Calibri" w:hAnsi="Calibri"/>
        </w:rPr>
        <w:t xml:space="preserve"> in the second half of the year and was ahead of the prior year (8.4</w:t>
      </w:r>
      <w:r w:rsidR="00F10D8C" w:rsidRPr="00063033">
        <w:rPr>
          <w:rFonts w:ascii="Calibri" w:hAnsi="Calibri"/>
        </w:rPr>
        <w:t> percent</w:t>
      </w:r>
      <w:r w:rsidRPr="00063033">
        <w:rPr>
          <w:rFonts w:ascii="Calibri" w:hAnsi="Calibri"/>
        </w:rPr>
        <w:t>) as well.</w:t>
      </w:r>
    </w:p>
    <w:p w14:paraId="20C86BAE" w14:textId="77777777" w:rsidR="006847F5" w:rsidRPr="00063033" w:rsidRDefault="00625BE8" w:rsidP="00C113C7">
      <w:pPr>
        <w:autoSpaceDE w:val="0"/>
        <w:autoSpaceDN w:val="0"/>
        <w:adjustRightInd w:val="0"/>
        <w:rPr>
          <w:rFonts w:ascii="Calibri" w:hAnsi="Calibri"/>
        </w:rPr>
      </w:pPr>
      <w:r w:rsidRPr="00063033">
        <w:rPr>
          <w:rFonts w:ascii="Calibri" w:hAnsi="Calibri"/>
        </w:rPr>
        <w:t>The net loss attributable</w:t>
      </w:r>
      <w:r w:rsidR="005D6B8B" w:rsidRPr="00063033">
        <w:rPr>
          <w:rFonts w:ascii="Calibri" w:hAnsi="Calibri"/>
        </w:rPr>
        <w:t xml:space="preserve"> to shareholders of the parent company for the reporting period </w:t>
      </w:r>
      <w:r w:rsidRPr="00063033">
        <w:rPr>
          <w:rFonts w:ascii="Calibri" w:hAnsi="Calibri"/>
        </w:rPr>
        <w:t>was 424</w:t>
      </w:r>
      <w:r w:rsidR="00F10D8C" w:rsidRPr="00063033">
        <w:rPr>
          <w:rFonts w:ascii="Calibri" w:hAnsi="Calibri"/>
        </w:rPr>
        <w:t> million</w:t>
      </w:r>
      <w:r w:rsidRPr="00063033">
        <w:rPr>
          <w:rFonts w:ascii="Calibri" w:hAnsi="Calibri"/>
        </w:rPr>
        <w:t xml:space="preserve"> euros following net income of 428 in the prior year. Earnings per common non</w:t>
      </w:r>
      <w:r w:rsidR="00F7608B" w:rsidRPr="00063033">
        <w:rPr>
          <w:rFonts w:ascii="Calibri" w:hAnsi="Calibri"/>
        </w:rPr>
        <w:t>-</w:t>
      </w:r>
      <w:r w:rsidRPr="00063033">
        <w:rPr>
          <w:rFonts w:ascii="Calibri" w:hAnsi="Calibri"/>
        </w:rPr>
        <w:t xml:space="preserve">voting share were </w:t>
      </w:r>
      <w:r w:rsidR="00F7608B" w:rsidRPr="00063033">
        <w:rPr>
          <w:rFonts w:ascii="Calibri" w:hAnsi="Calibri"/>
        </w:rPr>
        <w:noBreakHyphen/>
      </w:r>
      <w:r w:rsidRPr="00063033">
        <w:rPr>
          <w:rFonts w:ascii="Calibri" w:hAnsi="Calibri"/>
        </w:rPr>
        <w:t>0.63 e</w:t>
      </w:r>
      <w:r w:rsidR="006847F5" w:rsidRPr="00063033">
        <w:rPr>
          <w:rFonts w:ascii="Calibri" w:hAnsi="Calibri"/>
        </w:rPr>
        <w:t xml:space="preserve">uros (prior year: 0.65 euros). </w:t>
      </w:r>
    </w:p>
    <w:p w14:paraId="43D7A83C" w14:textId="77777777" w:rsidR="00625BE8" w:rsidRPr="00063033" w:rsidRDefault="004A2769" w:rsidP="00C113C7">
      <w:pPr>
        <w:autoSpaceDE w:val="0"/>
        <w:autoSpaceDN w:val="0"/>
        <w:adjustRightInd w:val="0"/>
        <w:rPr>
          <w:rFonts w:ascii="Calibri" w:hAnsi="Calibri"/>
        </w:rPr>
      </w:pPr>
      <w:r w:rsidRPr="00063033">
        <w:rPr>
          <w:rFonts w:ascii="Calibri" w:hAnsi="Calibri"/>
        </w:rPr>
        <w:t>Before special items, n</w:t>
      </w:r>
      <w:r w:rsidR="00625BE8" w:rsidRPr="00063033">
        <w:rPr>
          <w:rFonts w:ascii="Calibri" w:hAnsi="Calibri"/>
        </w:rPr>
        <w:t>et income attributable to shareholders of the parent company was 325</w:t>
      </w:r>
      <w:r w:rsidR="00F10D8C" w:rsidRPr="00063033">
        <w:rPr>
          <w:rFonts w:ascii="Calibri" w:hAnsi="Calibri"/>
        </w:rPr>
        <w:t> million</w:t>
      </w:r>
      <w:r w:rsidR="00625BE8" w:rsidRPr="00063033">
        <w:rPr>
          <w:rFonts w:ascii="Calibri" w:hAnsi="Calibri"/>
        </w:rPr>
        <w:t xml:space="preserve"> euros (prior year: 686</w:t>
      </w:r>
      <w:r w:rsidR="00F10D8C" w:rsidRPr="00063033">
        <w:rPr>
          <w:rFonts w:ascii="Calibri" w:hAnsi="Calibri"/>
        </w:rPr>
        <w:t> million</w:t>
      </w:r>
      <w:r w:rsidR="00625BE8" w:rsidRPr="00063033">
        <w:rPr>
          <w:rFonts w:ascii="Calibri" w:hAnsi="Calibri"/>
        </w:rPr>
        <w:t xml:space="preserve"> euros). On that basis, Schaeffler AG’s Board of Managing Director</w:t>
      </w:r>
      <w:r w:rsidR="006847F5" w:rsidRPr="00063033">
        <w:rPr>
          <w:rFonts w:ascii="Calibri" w:hAnsi="Calibri"/>
        </w:rPr>
        <w:t>s will propose a dividend of 25 </w:t>
      </w:r>
      <w:r w:rsidR="00625BE8" w:rsidRPr="00063033">
        <w:rPr>
          <w:rFonts w:ascii="Calibri" w:hAnsi="Calibri"/>
        </w:rPr>
        <w:t>cents per common non</w:t>
      </w:r>
      <w:r w:rsidR="00F7608B" w:rsidRPr="00063033">
        <w:rPr>
          <w:rFonts w:ascii="Calibri" w:hAnsi="Calibri"/>
        </w:rPr>
        <w:t>-</w:t>
      </w:r>
      <w:r w:rsidR="00625BE8" w:rsidRPr="00063033">
        <w:rPr>
          <w:rFonts w:ascii="Calibri" w:hAnsi="Calibri"/>
        </w:rPr>
        <w:t>voting share (prior year: 45 cents) to the annual general meeting. This represents a dividend payout ratio of approximately 50</w:t>
      </w:r>
      <w:r w:rsidR="00F10D8C" w:rsidRPr="00063033">
        <w:rPr>
          <w:rFonts w:ascii="Calibri" w:hAnsi="Calibri"/>
        </w:rPr>
        <w:t> percent</w:t>
      </w:r>
      <w:r w:rsidR="00625BE8" w:rsidRPr="00063033">
        <w:rPr>
          <w:rFonts w:ascii="Calibri" w:hAnsi="Calibri"/>
        </w:rPr>
        <w:t xml:space="preserve"> (prior year: approximately 43</w:t>
      </w:r>
      <w:r w:rsidR="00F10D8C" w:rsidRPr="00063033">
        <w:rPr>
          <w:rFonts w:ascii="Calibri" w:hAnsi="Calibri"/>
        </w:rPr>
        <w:t> percent</w:t>
      </w:r>
      <w:r w:rsidR="00625BE8" w:rsidRPr="00063033">
        <w:rPr>
          <w:rFonts w:ascii="Calibri" w:hAnsi="Calibri"/>
        </w:rPr>
        <w:t>) of net income before special items attributable to shareholders.</w:t>
      </w:r>
    </w:p>
    <w:p w14:paraId="0322A459" w14:textId="0B00B01A" w:rsidR="00270199" w:rsidRPr="00063033" w:rsidRDefault="004C32D9" w:rsidP="00C113C7">
      <w:pPr>
        <w:autoSpaceDE w:val="0"/>
        <w:autoSpaceDN w:val="0"/>
        <w:adjustRightInd w:val="0"/>
        <w:rPr>
          <w:rFonts w:ascii="Calibri" w:hAnsi="Calibri"/>
        </w:rPr>
      </w:pPr>
      <w:r w:rsidRPr="00063033">
        <w:rPr>
          <w:rFonts w:ascii="Calibri" w:hAnsi="Calibri"/>
          <w:b/>
        </w:rPr>
        <w:t>Strong E-Mobility order intake in Automotive Technologies</w:t>
      </w:r>
      <w:r w:rsidR="00E622E7">
        <w:rPr>
          <w:rFonts w:ascii="Calibri" w:hAnsi="Calibri"/>
          <w:b/>
        </w:rPr>
        <w:br/>
      </w:r>
      <w:r w:rsidR="00270199" w:rsidRPr="00063033">
        <w:rPr>
          <w:rFonts w:ascii="Calibri" w:hAnsi="Calibri"/>
        </w:rPr>
        <w:t>The Automotive Technologies division generated 7,821</w:t>
      </w:r>
      <w:r w:rsidR="00F10D8C" w:rsidRPr="00063033">
        <w:rPr>
          <w:rFonts w:ascii="Calibri" w:hAnsi="Calibri"/>
        </w:rPr>
        <w:t> million</w:t>
      </w:r>
      <w:r w:rsidR="00270199" w:rsidRPr="00063033">
        <w:rPr>
          <w:rFonts w:ascii="Calibri" w:hAnsi="Calibri"/>
        </w:rPr>
        <w:t xml:space="preserve"> euros in revenue (prior year: 9,044</w:t>
      </w:r>
      <w:r w:rsidR="00F10D8C" w:rsidRPr="00063033">
        <w:rPr>
          <w:rFonts w:ascii="Calibri" w:hAnsi="Calibri"/>
        </w:rPr>
        <w:t> million</w:t>
      </w:r>
      <w:r w:rsidR="00270199" w:rsidRPr="00063033">
        <w:rPr>
          <w:rFonts w:ascii="Calibri" w:hAnsi="Calibri"/>
        </w:rPr>
        <w:t xml:space="preserve"> euros). At constant currency, revenue decreased by 11.6</w:t>
      </w:r>
      <w:r w:rsidR="00F10D8C" w:rsidRPr="00063033">
        <w:rPr>
          <w:rFonts w:ascii="Calibri" w:hAnsi="Calibri"/>
        </w:rPr>
        <w:t> percent</w:t>
      </w:r>
      <w:r w:rsidR="00270199" w:rsidRPr="00063033">
        <w:rPr>
          <w:rFonts w:ascii="Calibri" w:hAnsi="Calibri"/>
        </w:rPr>
        <w:t xml:space="preserve"> from the prior year. In an already declining market environment, the division’s revenue trend was massively impacted by the implications of the coronavirus pandemic. Global automobile production fell by approximately 16</w:t>
      </w:r>
      <w:r w:rsidR="00F10D8C" w:rsidRPr="00063033">
        <w:rPr>
          <w:rFonts w:ascii="Calibri" w:hAnsi="Calibri"/>
        </w:rPr>
        <w:t> percent</w:t>
      </w:r>
      <w:r w:rsidR="00270199" w:rsidRPr="00063033">
        <w:rPr>
          <w:rFonts w:ascii="Calibri" w:hAnsi="Calibri"/>
        </w:rPr>
        <w:t>, and Schaeffler did not escape this negative trend. However, revenue for the second half of the year grew and exceeded the prior year period by 3.5</w:t>
      </w:r>
      <w:r w:rsidR="00F10D8C" w:rsidRPr="00063033">
        <w:rPr>
          <w:rFonts w:ascii="Calibri" w:hAnsi="Calibri"/>
        </w:rPr>
        <w:t> percent</w:t>
      </w:r>
      <w:r w:rsidR="00270199" w:rsidRPr="00063033">
        <w:rPr>
          <w:rFonts w:ascii="Calibri" w:hAnsi="Calibri"/>
        </w:rPr>
        <w:t>. In total, the Automotive Technologies division outperformed the market by more than 4</w:t>
      </w:r>
      <w:r w:rsidR="00F10D8C" w:rsidRPr="00063033">
        <w:rPr>
          <w:rFonts w:ascii="Calibri" w:hAnsi="Calibri"/>
        </w:rPr>
        <w:t> percent</w:t>
      </w:r>
      <w:r w:rsidR="00270199" w:rsidRPr="00063033">
        <w:rPr>
          <w:rFonts w:ascii="Calibri" w:hAnsi="Calibri"/>
        </w:rPr>
        <w:t>age points. The Automotive Technologies division generated order intake of 10.2 billion euros. 2.7 billion euros of these orders related to the E</w:t>
      </w:r>
      <w:r w:rsidR="00F7608B" w:rsidRPr="00063033">
        <w:rPr>
          <w:rFonts w:ascii="Calibri" w:hAnsi="Calibri"/>
        </w:rPr>
        <w:t>-</w:t>
      </w:r>
      <w:r w:rsidR="00270199" w:rsidRPr="00063033">
        <w:rPr>
          <w:rFonts w:ascii="Calibri" w:hAnsi="Calibri"/>
        </w:rPr>
        <w:t>Mobility business division, significantly above the target of 1.5 to 2 billion euros.</w:t>
      </w:r>
    </w:p>
    <w:p w14:paraId="63079EEE" w14:textId="77777777" w:rsidR="00D56B1E" w:rsidRPr="00063033" w:rsidRDefault="00A12446" w:rsidP="00C113C7">
      <w:pPr>
        <w:autoSpaceDE w:val="0"/>
        <w:autoSpaceDN w:val="0"/>
        <w:adjustRightInd w:val="0"/>
        <w:rPr>
          <w:rFonts w:ascii="Calibri" w:hAnsi="Calibri"/>
        </w:rPr>
      </w:pPr>
      <w:r w:rsidRPr="00063033">
        <w:rPr>
          <w:rFonts w:ascii="Calibri" w:hAnsi="Calibri"/>
        </w:rPr>
        <w:t>The significant decline in global automobile production reduced revenue for three</w:t>
      </w:r>
      <w:r w:rsidR="006847F5" w:rsidRPr="00063033">
        <w:rPr>
          <w:rFonts w:ascii="Calibri" w:hAnsi="Calibri"/>
        </w:rPr>
        <w:t xml:space="preserve"> of the four regions. </w:t>
      </w:r>
      <w:r w:rsidRPr="00063033">
        <w:rPr>
          <w:rFonts w:ascii="Calibri" w:hAnsi="Calibri"/>
        </w:rPr>
        <w:t>The Europe region was affected particularly severely</w:t>
      </w:r>
      <w:r w:rsidR="00443EB9" w:rsidRPr="00063033">
        <w:rPr>
          <w:rFonts w:ascii="Calibri" w:hAnsi="Calibri"/>
        </w:rPr>
        <w:t>;</w:t>
      </w:r>
      <w:r w:rsidRPr="00063033">
        <w:rPr>
          <w:rFonts w:ascii="Calibri" w:hAnsi="Calibri"/>
        </w:rPr>
        <w:t xml:space="preserve"> revenue there was down 19.7</w:t>
      </w:r>
      <w:r w:rsidR="00F10D8C" w:rsidRPr="00063033">
        <w:rPr>
          <w:rFonts w:ascii="Calibri" w:hAnsi="Calibri"/>
        </w:rPr>
        <w:t> percent</w:t>
      </w:r>
      <w:r w:rsidRPr="00063033">
        <w:rPr>
          <w:rFonts w:ascii="Calibri" w:hAnsi="Calibri"/>
        </w:rPr>
        <w:t xml:space="preserve"> at constant currency. The Americas region reported 13.7</w:t>
      </w:r>
      <w:r w:rsidR="00F10D8C" w:rsidRPr="00063033">
        <w:rPr>
          <w:rFonts w:ascii="Calibri" w:hAnsi="Calibri"/>
        </w:rPr>
        <w:t> percent</w:t>
      </w:r>
      <w:r w:rsidRPr="00063033">
        <w:rPr>
          <w:rFonts w:ascii="Calibri" w:hAnsi="Calibri"/>
        </w:rPr>
        <w:t xml:space="preserve"> less revenue at constant currency. In the Greater China region, revenue was up 5.8</w:t>
      </w:r>
      <w:r w:rsidR="00F10D8C" w:rsidRPr="00063033">
        <w:rPr>
          <w:rFonts w:ascii="Calibri" w:hAnsi="Calibri"/>
        </w:rPr>
        <w:t> percent</w:t>
      </w:r>
      <w:r w:rsidRPr="00063033">
        <w:rPr>
          <w:rFonts w:ascii="Calibri" w:hAnsi="Calibri"/>
        </w:rPr>
        <w:t xml:space="preserve"> at constant currency.</w:t>
      </w:r>
      <w:r w:rsidR="00443EB9" w:rsidRPr="00063033">
        <w:rPr>
          <w:rFonts w:ascii="Calibri" w:hAnsi="Calibri"/>
        </w:rPr>
        <w:t xml:space="preserve"> </w:t>
      </w:r>
      <w:r w:rsidRPr="00063033">
        <w:rPr>
          <w:rFonts w:ascii="Calibri" w:hAnsi="Calibri"/>
        </w:rPr>
        <w:t>In the Asia/Pacific region, revenue fell by 13.2</w:t>
      </w:r>
      <w:r w:rsidR="00F10D8C" w:rsidRPr="00063033">
        <w:rPr>
          <w:rFonts w:ascii="Calibri" w:hAnsi="Calibri"/>
        </w:rPr>
        <w:t> percent</w:t>
      </w:r>
      <w:r w:rsidRPr="00063033">
        <w:rPr>
          <w:rFonts w:ascii="Calibri" w:hAnsi="Calibri"/>
        </w:rPr>
        <w:t xml:space="preserve"> at constant currency.</w:t>
      </w:r>
    </w:p>
    <w:p w14:paraId="3668FDEF" w14:textId="77777777" w:rsidR="00270199" w:rsidRPr="00063033" w:rsidRDefault="00F65D54" w:rsidP="00C113C7">
      <w:pPr>
        <w:autoSpaceDE w:val="0"/>
        <w:autoSpaceDN w:val="0"/>
        <w:adjustRightInd w:val="0"/>
        <w:rPr>
          <w:rFonts w:ascii="Calibri" w:hAnsi="Calibri"/>
        </w:rPr>
      </w:pPr>
      <w:r w:rsidRPr="00063033">
        <w:rPr>
          <w:rFonts w:ascii="Calibri" w:hAnsi="Calibri"/>
        </w:rPr>
        <w:t>EBIT before special items decreased by 44</w:t>
      </w:r>
      <w:r w:rsidR="00F10D8C" w:rsidRPr="00063033">
        <w:rPr>
          <w:rFonts w:ascii="Calibri" w:hAnsi="Calibri"/>
        </w:rPr>
        <w:t> percent</w:t>
      </w:r>
      <w:r w:rsidRPr="00063033">
        <w:rPr>
          <w:rFonts w:ascii="Calibri" w:hAnsi="Calibri"/>
        </w:rPr>
        <w:t xml:space="preserve"> to 278</w:t>
      </w:r>
      <w:r w:rsidR="00F10D8C" w:rsidRPr="00063033">
        <w:rPr>
          <w:rFonts w:ascii="Calibri" w:hAnsi="Calibri"/>
        </w:rPr>
        <w:t> million</w:t>
      </w:r>
      <w:r w:rsidRPr="00063033">
        <w:rPr>
          <w:rFonts w:ascii="Calibri" w:hAnsi="Calibri"/>
        </w:rPr>
        <w:t xml:space="preserve"> euros (prior year: 496</w:t>
      </w:r>
      <w:r w:rsidR="00F10D8C" w:rsidRPr="00063033">
        <w:rPr>
          <w:rFonts w:ascii="Calibri" w:hAnsi="Calibri"/>
        </w:rPr>
        <w:t> million</w:t>
      </w:r>
      <w:r w:rsidRPr="00063033">
        <w:rPr>
          <w:rFonts w:ascii="Calibri" w:hAnsi="Calibri"/>
        </w:rPr>
        <w:t xml:space="preserve"> euros). The division’s EBIT margin before special items declined to 3.6</w:t>
      </w:r>
      <w:r w:rsidR="00F10D8C" w:rsidRPr="00063033">
        <w:rPr>
          <w:rFonts w:ascii="Calibri" w:hAnsi="Calibri"/>
        </w:rPr>
        <w:t> percent</w:t>
      </w:r>
      <w:r w:rsidRPr="00063033">
        <w:rPr>
          <w:rFonts w:ascii="Calibri" w:hAnsi="Calibri"/>
        </w:rPr>
        <w:t xml:space="preserve"> (prior year: 5.5</w:t>
      </w:r>
      <w:r w:rsidR="00F10D8C" w:rsidRPr="00063033">
        <w:rPr>
          <w:rFonts w:ascii="Calibri" w:hAnsi="Calibri"/>
        </w:rPr>
        <w:t> percent</w:t>
      </w:r>
      <w:r w:rsidRPr="00063033">
        <w:rPr>
          <w:rFonts w:ascii="Calibri" w:hAnsi="Calibri"/>
        </w:rPr>
        <w:t>). Before special items, the EBIT margin for the second half of the year of 10.0</w:t>
      </w:r>
      <w:r w:rsidR="00F10D8C" w:rsidRPr="00063033">
        <w:rPr>
          <w:rFonts w:ascii="Calibri" w:hAnsi="Calibri"/>
        </w:rPr>
        <w:t> percent</w:t>
      </w:r>
      <w:r w:rsidRPr="00063033">
        <w:rPr>
          <w:rFonts w:ascii="Calibri" w:hAnsi="Calibri"/>
        </w:rPr>
        <w:t xml:space="preserve"> improved considerably over both the first six months (</w:t>
      </w:r>
      <w:r w:rsidR="00F7608B" w:rsidRPr="00063033">
        <w:rPr>
          <w:rFonts w:ascii="Calibri" w:hAnsi="Calibri"/>
        </w:rPr>
        <w:noBreakHyphen/>
      </w:r>
      <w:r w:rsidRPr="00063033">
        <w:rPr>
          <w:rFonts w:ascii="Calibri" w:hAnsi="Calibri"/>
        </w:rPr>
        <w:t>5.5</w:t>
      </w:r>
      <w:r w:rsidR="00F10D8C" w:rsidRPr="00063033">
        <w:rPr>
          <w:rFonts w:ascii="Calibri" w:hAnsi="Calibri"/>
        </w:rPr>
        <w:t> percent</w:t>
      </w:r>
      <w:r w:rsidRPr="00063033">
        <w:rPr>
          <w:rFonts w:ascii="Calibri" w:hAnsi="Calibri"/>
        </w:rPr>
        <w:t>) and the corre</w:t>
      </w:r>
      <w:r w:rsidR="006847F5" w:rsidRPr="00063033">
        <w:rPr>
          <w:rFonts w:ascii="Calibri" w:hAnsi="Calibri"/>
        </w:rPr>
        <w:t>sponding prior year period (6.1</w:t>
      </w:r>
      <w:r w:rsidR="00F10D8C" w:rsidRPr="00063033">
        <w:rPr>
          <w:rFonts w:ascii="Calibri" w:hAnsi="Calibri"/>
        </w:rPr>
        <w:t> percent</w:t>
      </w:r>
      <w:r w:rsidRPr="00063033">
        <w:rPr>
          <w:rFonts w:ascii="Calibri" w:hAnsi="Calibri"/>
        </w:rPr>
        <w:t>).</w:t>
      </w:r>
    </w:p>
    <w:p w14:paraId="332533FC" w14:textId="5B1984BA" w:rsidR="00095635" w:rsidRPr="00063033" w:rsidRDefault="00095635" w:rsidP="00C113C7">
      <w:pPr>
        <w:autoSpaceDE w:val="0"/>
        <w:autoSpaceDN w:val="0"/>
        <w:adjustRightInd w:val="0"/>
        <w:rPr>
          <w:rFonts w:ascii="Calibri" w:hAnsi="Calibri"/>
        </w:rPr>
      </w:pPr>
      <w:bookmarkStart w:id="1" w:name="_Hlk948987"/>
      <w:r w:rsidRPr="00063033">
        <w:rPr>
          <w:rFonts w:ascii="Calibri" w:hAnsi="Calibri"/>
          <w:b/>
        </w:rPr>
        <w:t>Automotive Aftermarket with strong margin despite revenue decline</w:t>
      </w:r>
      <w:bookmarkEnd w:id="1"/>
      <w:r w:rsidR="00E622E7">
        <w:rPr>
          <w:rFonts w:ascii="Calibri" w:hAnsi="Calibri"/>
          <w:b/>
        </w:rPr>
        <w:br/>
      </w:r>
      <w:r w:rsidRPr="00063033">
        <w:rPr>
          <w:rFonts w:ascii="Calibri" w:hAnsi="Calibri"/>
        </w:rPr>
        <w:t>The Automotive Aftermarket division also experienced a revenue decline in 2020. Revenue fell to 1,641</w:t>
      </w:r>
      <w:r w:rsidR="00F10D8C" w:rsidRPr="00063033">
        <w:rPr>
          <w:rFonts w:ascii="Calibri" w:hAnsi="Calibri"/>
        </w:rPr>
        <w:t> million</w:t>
      </w:r>
      <w:r w:rsidRPr="00063033">
        <w:rPr>
          <w:rFonts w:ascii="Calibri" w:hAnsi="Calibri"/>
        </w:rPr>
        <w:t xml:space="preserve"> euros (prior year: 1,848</w:t>
      </w:r>
      <w:r w:rsidR="00F10D8C" w:rsidRPr="00063033">
        <w:rPr>
          <w:rFonts w:ascii="Calibri" w:hAnsi="Calibri"/>
        </w:rPr>
        <w:t> million</w:t>
      </w:r>
      <w:r w:rsidRPr="00063033">
        <w:rPr>
          <w:rFonts w:ascii="Calibri" w:hAnsi="Calibri"/>
        </w:rPr>
        <w:t xml:space="preserve"> euros) driven by volumes. This represents a constant</w:t>
      </w:r>
      <w:r w:rsidR="00F7608B" w:rsidRPr="00063033">
        <w:rPr>
          <w:rFonts w:ascii="Calibri" w:hAnsi="Calibri"/>
        </w:rPr>
        <w:t>-</w:t>
      </w:r>
      <w:r w:rsidRPr="00063033">
        <w:rPr>
          <w:rFonts w:ascii="Calibri" w:hAnsi="Calibri"/>
        </w:rPr>
        <w:t>currency decrease of 7.0</w:t>
      </w:r>
      <w:r w:rsidR="00F10D8C" w:rsidRPr="00063033">
        <w:rPr>
          <w:rFonts w:ascii="Calibri" w:hAnsi="Calibri"/>
        </w:rPr>
        <w:t> percent</w:t>
      </w:r>
      <w:r w:rsidRPr="00063033">
        <w:rPr>
          <w:rFonts w:ascii="Calibri" w:hAnsi="Calibri"/>
        </w:rPr>
        <w:t xml:space="preserve">. Revenue </w:t>
      </w:r>
      <w:r w:rsidRPr="00063033">
        <w:rPr>
          <w:rFonts w:ascii="Calibri" w:hAnsi="Calibri"/>
        </w:rPr>
        <w:lastRenderedPageBreak/>
        <w:t xml:space="preserve">decreased in all regions, although trends improved everywhere in the second half of the year. </w:t>
      </w:r>
    </w:p>
    <w:p w14:paraId="354808D0" w14:textId="75B4E264" w:rsidR="003D40FF" w:rsidRPr="00063033" w:rsidRDefault="00095635" w:rsidP="00C113C7">
      <w:pPr>
        <w:autoSpaceDE w:val="0"/>
        <w:autoSpaceDN w:val="0"/>
        <w:adjustRightInd w:val="0"/>
        <w:rPr>
          <w:rFonts w:ascii="Calibri" w:hAnsi="Calibri"/>
        </w:rPr>
      </w:pPr>
      <w:r w:rsidRPr="00063033">
        <w:rPr>
          <w:rFonts w:ascii="Calibri" w:hAnsi="Calibri"/>
        </w:rPr>
        <w:t>In the Europe region, revenue fell by 7.8</w:t>
      </w:r>
      <w:r w:rsidR="00F10D8C" w:rsidRPr="00063033">
        <w:rPr>
          <w:rFonts w:ascii="Calibri" w:hAnsi="Calibri"/>
        </w:rPr>
        <w:t> percent</w:t>
      </w:r>
      <w:r w:rsidRPr="00063033">
        <w:rPr>
          <w:rFonts w:ascii="Calibri" w:hAnsi="Calibri"/>
        </w:rPr>
        <w:t xml:space="preserve"> at constant currency. The Americas region reported 4.3</w:t>
      </w:r>
      <w:r w:rsidR="00F10D8C" w:rsidRPr="00063033">
        <w:rPr>
          <w:rFonts w:ascii="Calibri" w:hAnsi="Calibri"/>
        </w:rPr>
        <w:t> percent</w:t>
      </w:r>
      <w:r w:rsidRPr="00063033">
        <w:rPr>
          <w:rFonts w:ascii="Calibri" w:hAnsi="Calibri"/>
        </w:rPr>
        <w:t xml:space="preserve"> less revenue at constant currency. The constant</w:t>
      </w:r>
      <w:r w:rsidR="005D624F">
        <w:rPr>
          <w:rFonts w:ascii="Calibri" w:hAnsi="Calibri"/>
        </w:rPr>
        <w:t xml:space="preserve"> </w:t>
      </w:r>
      <w:r w:rsidRPr="00063033">
        <w:rPr>
          <w:rFonts w:ascii="Calibri" w:hAnsi="Calibri"/>
        </w:rPr>
        <w:t>currency decline in the Greater China region of 1.9</w:t>
      </w:r>
      <w:r w:rsidR="00F10D8C" w:rsidRPr="00063033">
        <w:rPr>
          <w:rFonts w:ascii="Calibri" w:hAnsi="Calibri"/>
        </w:rPr>
        <w:t> percent</w:t>
      </w:r>
      <w:r w:rsidRPr="00063033">
        <w:rPr>
          <w:rFonts w:ascii="Calibri" w:hAnsi="Calibri"/>
        </w:rPr>
        <w:t xml:space="preserve"> was more moderate. In the Asia/Pacific region, revenue </w:t>
      </w:r>
      <w:r w:rsidR="009D3CF1" w:rsidRPr="00063033">
        <w:rPr>
          <w:rFonts w:ascii="Calibri" w:hAnsi="Calibri"/>
        </w:rPr>
        <w:t>was down</w:t>
      </w:r>
      <w:r w:rsidRPr="00063033">
        <w:rPr>
          <w:rFonts w:ascii="Calibri" w:hAnsi="Calibri"/>
        </w:rPr>
        <w:t xml:space="preserve"> 12.3</w:t>
      </w:r>
      <w:r w:rsidR="00F10D8C" w:rsidRPr="00063033">
        <w:rPr>
          <w:rFonts w:ascii="Calibri" w:hAnsi="Calibri"/>
        </w:rPr>
        <w:t> percent</w:t>
      </w:r>
      <w:r w:rsidRPr="00063033">
        <w:rPr>
          <w:rFonts w:ascii="Calibri" w:hAnsi="Calibri"/>
        </w:rPr>
        <w:t xml:space="preserve"> at constant currency.</w:t>
      </w:r>
    </w:p>
    <w:p w14:paraId="2786EB3B" w14:textId="77777777" w:rsidR="00F65D54" w:rsidRPr="00063033" w:rsidRDefault="005C16DF" w:rsidP="00C113C7">
      <w:pPr>
        <w:autoSpaceDE w:val="0"/>
        <w:autoSpaceDN w:val="0"/>
        <w:adjustRightInd w:val="0"/>
        <w:rPr>
          <w:rFonts w:ascii="Calibri" w:hAnsi="Calibri"/>
        </w:rPr>
      </w:pPr>
      <w:r w:rsidRPr="00063033">
        <w:rPr>
          <w:rFonts w:ascii="Calibri" w:hAnsi="Calibri"/>
        </w:rPr>
        <w:t>EBIT before special items amounted to 259</w:t>
      </w:r>
      <w:r w:rsidR="00F10D8C" w:rsidRPr="00063033">
        <w:rPr>
          <w:rFonts w:ascii="Calibri" w:hAnsi="Calibri"/>
        </w:rPr>
        <w:t> million</w:t>
      </w:r>
      <w:r w:rsidR="006847F5" w:rsidRPr="00063033">
        <w:rPr>
          <w:rFonts w:ascii="Calibri" w:hAnsi="Calibri"/>
        </w:rPr>
        <w:t xml:space="preserve"> euros (prior year: 305</w:t>
      </w:r>
      <w:r w:rsidR="00F10D8C" w:rsidRPr="00063033">
        <w:rPr>
          <w:rFonts w:ascii="Calibri" w:hAnsi="Calibri"/>
        </w:rPr>
        <w:t> million</w:t>
      </w:r>
      <w:r w:rsidRPr="00063033">
        <w:rPr>
          <w:rFonts w:ascii="Calibri" w:hAnsi="Calibri"/>
        </w:rPr>
        <w:t xml:space="preserve"> euros), falling by 15.1</w:t>
      </w:r>
      <w:r w:rsidR="00F10D8C" w:rsidRPr="00063033">
        <w:rPr>
          <w:rFonts w:ascii="Calibri" w:hAnsi="Calibri"/>
        </w:rPr>
        <w:t> percent</w:t>
      </w:r>
      <w:r w:rsidRPr="00063033">
        <w:rPr>
          <w:rFonts w:ascii="Calibri" w:hAnsi="Calibri"/>
        </w:rPr>
        <w:t xml:space="preserve">. Despite the considerable revenue decline, cost adjustments improved the division’s EBIT margin before special items for the second half of the year compared to the first </w:t>
      </w:r>
      <w:r w:rsidR="009D3CF1" w:rsidRPr="00063033">
        <w:rPr>
          <w:rFonts w:ascii="Calibri" w:hAnsi="Calibri"/>
        </w:rPr>
        <w:t>six months</w:t>
      </w:r>
      <w:r w:rsidRPr="00063033">
        <w:rPr>
          <w:rFonts w:ascii="Calibri" w:hAnsi="Calibri"/>
        </w:rPr>
        <w:t>, returning it to the level of the prior year period of 17.4</w:t>
      </w:r>
      <w:r w:rsidR="00F10D8C" w:rsidRPr="00063033">
        <w:rPr>
          <w:rFonts w:ascii="Calibri" w:hAnsi="Calibri"/>
        </w:rPr>
        <w:t> percent</w:t>
      </w:r>
      <w:r w:rsidRPr="00063033">
        <w:rPr>
          <w:rFonts w:ascii="Calibri" w:hAnsi="Calibri"/>
        </w:rPr>
        <w:t>. The EBIT margin before special items</w:t>
      </w:r>
      <w:r w:rsidR="00443EB9" w:rsidRPr="00063033">
        <w:rPr>
          <w:rFonts w:ascii="Calibri" w:hAnsi="Calibri"/>
        </w:rPr>
        <w:t xml:space="preserve"> </w:t>
      </w:r>
      <w:r w:rsidRPr="00063033">
        <w:rPr>
          <w:rFonts w:ascii="Calibri" w:hAnsi="Calibri"/>
        </w:rPr>
        <w:t>for 2020 amounted to 15.8</w:t>
      </w:r>
      <w:r w:rsidR="00F10D8C" w:rsidRPr="00063033">
        <w:rPr>
          <w:rFonts w:ascii="Calibri" w:hAnsi="Calibri"/>
        </w:rPr>
        <w:t> percent</w:t>
      </w:r>
      <w:r w:rsidRPr="00063033">
        <w:rPr>
          <w:rFonts w:ascii="Calibri" w:hAnsi="Calibri"/>
        </w:rPr>
        <w:t xml:space="preserve"> (prior year: 16.5</w:t>
      </w:r>
      <w:r w:rsidR="00F10D8C" w:rsidRPr="00063033">
        <w:rPr>
          <w:rFonts w:ascii="Calibri" w:hAnsi="Calibri"/>
        </w:rPr>
        <w:t> percent</w:t>
      </w:r>
      <w:r w:rsidRPr="00063033">
        <w:rPr>
          <w:rFonts w:ascii="Calibri" w:hAnsi="Calibri"/>
        </w:rPr>
        <w:t>).</w:t>
      </w:r>
    </w:p>
    <w:p w14:paraId="20E8FEEB" w14:textId="5E280353" w:rsidR="00CD681D" w:rsidRPr="00063033" w:rsidRDefault="00732A81" w:rsidP="00C113C7">
      <w:pPr>
        <w:autoSpaceDE w:val="0"/>
        <w:autoSpaceDN w:val="0"/>
        <w:adjustRightInd w:val="0"/>
        <w:rPr>
          <w:rFonts w:ascii="Calibri" w:hAnsi="Calibri"/>
          <w:bCs/>
        </w:rPr>
      </w:pPr>
      <w:r w:rsidRPr="00063033">
        <w:rPr>
          <w:rFonts w:ascii="Calibri" w:hAnsi="Calibri"/>
          <w:b/>
        </w:rPr>
        <w:t>Industrial division generates significant additional revenue in the wind sector cluster</w:t>
      </w:r>
      <w:r w:rsidR="00E622E7">
        <w:rPr>
          <w:rFonts w:ascii="Calibri" w:hAnsi="Calibri"/>
          <w:b/>
        </w:rPr>
        <w:br/>
      </w:r>
      <w:r w:rsidR="00CB1643" w:rsidRPr="00063033">
        <w:rPr>
          <w:rFonts w:ascii="Calibri" w:hAnsi="Calibri"/>
        </w:rPr>
        <w:t>The Industrial division reported 3,138</w:t>
      </w:r>
      <w:r w:rsidR="00F10D8C" w:rsidRPr="00063033">
        <w:rPr>
          <w:rFonts w:ascii="Calibri" w:hAnsi="Calibri"/>
        </w:rPr>
        <w:t> million</w:t>
      </w:r>
      <w:r w:rsidR="00CB1643" w:rsidRPr="00063033">
        <w:rPr>
          <w:rFonts w:ascii="Calibri" w:hAnsi="Calibri"/>
        </w:rPr>
        <w:t xml:space="preserve"> euros</w:t>
      </w:r>
      <w:r w:rsidR="00443EB9" w:rsidRPr="00063033">
        <w:rPr>
          <w:rFonts w:ascii="Calibri" w:hAnsi="Calibri"/>
        </w:rPr>
        <w:t xml:space="preserve"> </w:t>
      </w:r>
      <w:r w:rsidR="006847F5" w:rsidRPr="00063033">
        <w:rPr>
          <w:rFonts w:ascii="Calibri" w:hAnsi="Calibri"/>
        </w:rPr>
        <w:t>in revenue (prior year: 3,535</w:t>
      </w:r>
      <w:r w:rsidR="00F10D8C" w:rsidRPr="00063033">
        <w:rPr>
          <w:rFonts w:ascii="Calibri" w:hAnsi="Calibri"/>
        </w:rPr>
        <w:t> million</w:t>
      </w:r>
      <w:r w:rsidR="00CB1643" w:rsidRPr="00063033">
        <w:rPr>
          <w:rFonts w:ascii="Calibri" w:hAnsi="Calibri"/>
        </w:rPr>
        <w:t xml:space="preserve"> euros), a decline of </w:t>
      </w:r>
      <w:r w:rsidR="00F7608B" w:rsidRPr="00063033">
        <w:rPr>
          <w:rFonts w:ascii="Calibri" w:hAnsi="Calibri"/>
        </w:rPr>
        <w:noBreakHyphen/>
      </w:r>
      <w:r w:rsidR="00CB1643" w:rsidRPr="00063033">
        <w:rPr>
          <w:rFonts w:ascii="Calibri" w:hAnsi="Calibri"/>
        </w:rPr>
        <w:t>9.2</w:t>
      </w:r>
      <w:r w:rsidR="00F10D8C" w:rsidRPr="00063033">
        <w:rPr>
          <w:rFonts w:ascii="Calibri" w:hAnsi="Calibri"/>
        </w:rPr>
        <w:t> percent</w:t>
      </w:r>
      <w:r w:rsidR="00CB1643" w:rsidRPr="00063033">
        <w:rPr>
          <w:rFonts w:ascii="Calibri" w:hAnsi="Calibri"/>
        </w:rPr>
        <w:t xml:space="preserve"> at constant currency. Trends varied across sectors. The wind sector cluster, for instance, generated noticeable revenue growth, with contributions especially from the Greater China region.</w:t>
      </w:r>
      <w:r w:rsidR="00443EB9" w:rsidRPr="00063033">
        <w:rPr>
          <w:rFonts w:ascii="Calibri" w:hAnsi="Calibri"/>
        </w:rPr>
        <w:t xml:space="preserve"> </w:t>
      </w:r>
      <w:r w:rsidR="00CB1643" w:rsidRPr="00063033">
        <w:rPr>
          <w:rFonts w:ascii="Calibri" w:hAnsi="Calibri"/>
        </w:rPr>
        <w:t xml:space="preserve">However, this growth was insufficient to fully offset the heavy decline in demand worldwide. </w:t>
      </w:r>
    </w:p>
    <w:p w14:paraId="258840BC" w14:textId="77777777" w:rsidR="00685639" w:rsidRPr="00063033" w:rsidRDefault="00A8579D" w:rsidP="00C113C7">
      <w:pPr>
        <w:autoSpaceDE w:val="0"/>
        <w:autoSpaceDN w:val="0"/>
        <w:adjustRightInd w:val="0"/>
        <w:rPr>
          <w:rFonts w:ascii="Calibri" w:hAnsi="Calibri"/>
          <w:bCs/>
        </w:rPr>
      </w:pPr>
      <w:r w:rsidRPr="00063033">
        <w:rPr>
          <w:rFonts w:ascii="Calibri" w:hAnsi="Calibri"/>
        </w:rPr>
        <w:t xml:space="preserve">In the Europe region, revenue fell by </w:t>
      </w:r>
      <w:r w:rsidR="00F7608B" w:rsidRPr="00063033">
        <w:rPr>
          <w:rFonts w:ascii="Calibri" w:hAnsi="Calibri"/>
        </w:rPr>
        <w:noBreakHyphen/>
      </w:r>
      <w:r w:rsidRPr="00063033">
        <w:rPr>
          <w:rFonts w:ascii="Calibri" w:hAnsi="Calibri"/>
        </w:rPr>
        <w:t>18.4</w:t>
      </w:r>
      <w:r w:rsidR="00F10D8C" w:rsidRPr="00063033">
        <w:rPr>
          <w:rFonts w:ascii="Calibri" w:hAnsi="Calibri"/>
        </w:rPr>
        <w:t> percent</w:t>
      </w:r>
      <w:r w:rsidRPr="00063033">
        <w:rPr>
          <w:rFonts w:ascii="Calibri" w:hAnsi="Calibri"/>
        </w:rPr>
        <w:t xml:space="preserve"> at constant currency due to lower demand in most sector clusters, especially in most sectors of the industrial automation cluster. The business with distributors (Industrial Distribution) was marked by the </w:t>
      </w:r>
      <w:r w:rsidR="009D3CF1" w:rsidRPr="00063033">
        <w:rPr>
          <w:rFonts w:ascii="Calibri" w:hAnsi="Calibri"/>
        </w:rPr>
        <w:t>reduced</w:t>
      </w:r>
      <w:r w:rsidRPr="00063033">
        <w:rPr>
          <w:rFonts w:ascii="Calibri" w:hAnsi="Calibri"/>
        </w:rPr>
        <w:t xml:space="preserve"> demand for service and a corresponding reduction in inventory levels. The Americas region experienced a considerable </w:t>
      </w:r>
      <w:r w:rsidR="009D3CF1" w:rsidRPr="00063033">
        <w:rPr>
          <w:rFonts w:ascii="Calibri" w:hAnsi="Calibri"/>
        </w:rPr>
        <w:t xml:space="preserve">decrease in </w:t>
      </w:r>
      <w:r w:rsidRPr="00063033">
        <w:rPr>
          <w:rFonts w:ascii="Calibri" w:hAnsi="Calibri"/>
        </w:rPr>
        <w:t xml:space="preserve">revenue of </w:t>
      </w:r>
      <w:r w:rsidR="00F7608B" w:rsidRPr="00063033">
        <w:rPr>
          <w:rFonts w:ascii="Calibri" w:hAnsi="Calibri"/>
        </w:rPr>
        <w:noBreakHyphen/>
      </w:r>
      <w:r w:rsidRPr="00063033">
        <w:rPr>
          <w:rFonts w:ascii="Calibri" w:hAnsi="Calibri"/>
        </w:rPr>
        <w:t>13.5</w:t>
      </w:r>
      <w:r w:rsidR="00F10D8C" w:rsidRPr="00063033">
        <w:rPr>
          <w:rFonts w:ascii="Calibri" w:hAnsi="Calibri"/>
        </w:rPr>
        <w:t> percent</w:t>
      </w:r>
      <w:r w:rsidRPr="00063033">
        <w:rPr>
          <w:rFonts w:ascii="Calibri" w:hAnsi="Calibri"/>
        </w:rPr>
        <w:t xml:space="preserve"> at constant currency, </w:t>
      </w:r>
      <w:r w:rsidR="009D3CF1" w:rsidRPr="00063033">
        <w:rPr>
          <w:rFonts w:ascii="Calibri" w:hAnsi="Calibri"/>
        </w:rPr>
        <w:t>held back</w:t>
      </w:r>
      <w:r w:rsidRPr="00063033">
        <w:rPr>
          <w:rFonts w:ascii="Calibri" w:hAnsi="Calibri"/>
        </w:rPr>
        <w:t xml:space="preserve"> by the decline reported by Industrial Distribution and the raw materials and aerospace sector clusters. The Greater China region increased its revenue for the year by 18.1</w:t>
      </w:r>
      <w:r w:rsidR="00F10D8C" w:rsidRPr="00063033">
        <w:rPr>
          <w:rFonts w:ascii="Calibri" w:hAnsi="Calibri"/>
        </w:rPr>
        <w:t> percent</w:t>
      </w:r>
      <w:r w:rsidRPr="00063033">
        <w:rPr>
          <w:rFonts w:ascii="Calibri" w:hAnsi="Calibri"/>
        </w:rPr>
        <w:t xml:space="preserve"> at constant currency mainly due to the encouraging performance of the wind and power transmission sector clusters. In the Asia/Pacific region, revenue fell </w:t>
      </w:r>
      <w:r w:rsidR="00F7608B" w:rsidRPr="00063033">
        <w:rPr>
          <w:rFonts w:ascii="Calibri" w:hAnsi="Calibri"/>
        </w:rPr>
        <w:noBreakHyphen/>
      </w:r>
      <w:r w:rsidRPr="00063033">
        <w:rPr>
          <w:rFonts w:ascii="Calibri" w:hAnsi="Calibri"/>
        </w:rPr>
        <w:t>13.6</w:t>
      </w:r>
      <w:r w:rsidR="00F10D8C" w:rsidRPr="00063033">
        <w:rPr>
          <w:rFonts w:ascii="Calibri" w:hAnsi="Calibri"/>
        </w:rPr>
        <w:t> percent</w:t>
      </w:r>
      <w:r w:rsidRPr="00063033">
        <w:rPr>
          <w:rFonts w:ascii="Calibri" w:hAnsi="Calibri"/>
        </w:rPr>
        <w:t xml:space="preserve"> at constant currency short of the prior year level. The decline was mainly attributable to Industrial Distribution and the two wheelers sector cluster. However, the revenue trend improved considerably in both these areas in the second half of 2020.</w:t>
      </w:r>
    </w:p>
    <w:p w14:paraId="77282B15" w14:textId="77777777" w:rsidR="00C05465" w:rsidRPr="00063033" w:rsidRDefault="002428B6" w:rsidP="00C113C7">
      <w:pPr>
        <w:autoSpaceDE w:val="0"/>
        <w:autoSpaceDN w:val="0"/>
        <w:adjustRightInd w:val="0"/>
        <w:rPr>
          <w:rFonts w:ascii="Calibri" w:hAnsi="Calibri"/>
          <w:bCs/>
        </w:rPr>
      </w:pPr>
      <w:r w:rsidRPr="00063033">
        <w:rPr>
          <w:rFonts w:ascii="Calibri" w:hAnsi="Calibri"/>
        </w:rPr>
        <w:t>EBIT before special items decreased by 26.3</w:t>
      </w:r>
      <w:r w:rsidR="00F10D8C" w:rsidRPr="00063033">
        <w:rPr>
          <w:rFonts w:ascii="Calibri" w:hAnsi="Calibri"/>
        </w:rPr>
        <w:t> percent</w:t>
      </w:r>
      <w:r w:rsidRPr="00063033">
        <w:rPr>
          <w:rFonts w:ascii="Calibri" w:hAnsi="Calibri"/>
        </w:rPr>
        <w:t xml:space="preserve"> to 266</w:t>
      </w:r>
      <w:r w:rsidR="00F10D8C" w:rsidRPr="00063033">
        <w:rPr>
          <w:rFonts w:ascii="Calibri" w:hAnsi="Calibri"/>
        </w:rPr>
        <w:t> million</w:t>
      </w:r>
      <w:r w:rsidRPr="00063033">
        <w:rPr>
          <w:rFonts w:ascii="Calibri" w:hAnsi="Calibri"/>
        </w:rPr>
        <w:t xml:space="preserve"> euros (prior year: 361</w:t>
      </w:r>
      <w:r w:rsidR="00F10D8C" w:rsidRPr="00063033">
        <w:rPr>
          <w:rFonts w:ascii="Calibri" w:hAnsi="Calibri"/>
        </w:rPr>
        <w:t> million</w:t>
      </w:r>
      <w:r w:rsidRPr="00063033">
        <w:rPr>
          <w:rFonts w:ascii="Calibri" w:hAnsi="Calibri"/>
        </w:rPr>
        <w:t xml:space="preserve"> euros). The division’s EBIT margin before special items declined by 1.7</w:t>
      </w:r>
      <w:r w:rsidR="00F10D8C" w:rsidRPr="00063033">
        <w:rPr>
          <w:rFonts w:ascii="Calibri" w:hAnsi="Calibri"/>
        </w:rPr>
        <w:t> percent</w:t>
      </w:r>
      <w:r w:rsidRPr="00063033">
        <w:rPr>
          <w:rFonts w:ascii="Calibri" w:hAnsi="Calibri"/>
        </w:rPr>
        <w:t>age points to 8.5</w:t>
      </w:r>
      <w:r w:rsidR="00F10D8C" w:rsidRPr="00063033">
        <w:rPr>
          <w:rFonts w:ascii="Calibri" w:hAnsi="Calibri"/>
        </w:rPr>
        <w:t> percent</w:t>
      </w:r>
      <w:r w:rsidRPr="00063033">
        <w:rPr>
          <w:rFonts w:ascii="Calibri" w:hAnsi="Calibri"/>
        </w:rPr>
        <w:t xml:space="preserve"> (prior year: 10.2</w:t>
      </w:r>
      <w:r w:rsidR="00F10D8C" w:rsidRPr="00063033">
        <w:rPr>
          <w:rFonts w:ascii="Calibri" w:hAnsi="Calibri"/>
        </w:rPr>
        <w:t> percent</w:t>
      </w:r>
      <w:r w:rsidRPr="00063033">
        <w:rPr>
          <w:rFonts w:ascii="Calibri" w:hAnsi="Calibri"/>
        </w:rPr>
        <w:t>).</w:t>
      </w:r>
    </w:p>
    <w:p w14:paraId="220D22E7" w14:textId="695DFBFE" w:rsidR="00C53FA0" w:rsidRPr="00063033" w:rsidRDefault="000F6D0F" w:rsidP="00E622E7">
      <w:pPr>
        <w:keepNext/>
        <w:autoSpaceDE w:val="0"/>
        <w:autoSpaceDN w:val="0"/>
        <w:adjustRightInd w:val="0"/>
        <w:rPr>
          <w:rFonts w:ascii="Calibri" w:hAnsi="Calibri"/>
        </w:rPr>
      </w:pPr>
      <w:r w:rsidRPr="00063033">
        <w:rPr>
          <w:rFonts w:ascii="Calibri" w:hAnsi="Calibri"/>
          <w:b/>
        </w:rPr>
        <w:t>Free cash flow ahead of prior year</w:t>
      </w:r>
      <w:r w:rsidR="00E622E7">
        <w:rPr>
          <w:rFonts w:ascii="Calibri" w:hAnsi="Calibri"/>
          <w:b/>
        </w:rPr>
        <w:br/>
      </w:r>
      <w:r w:rsidRPr="00063033">
        <w:rPr>
          <w:rFonts w:ascii="Calibri" w:hAnsi="Calibri"/>
        </w:rPr>
        <w:t>At 539</w:t>
      </w:r>
      <w:r w:rsidR="00F10D8C" w:rsidRPr="00063033">
        <w:rPr>
          <w:rFonts w:ascii="Calibri" w:hAnsi="Calibri"/>
        </w:rPr>
        <w:t> million</w:t>
      </w:r>
      <w:r w:rsidRPr="00063033">
        <w:rPr>
          <w:rFonts w:ascii="Calibri" w:hAnsi="Calibri"/>
        </w:rPr>
        <w:t xml:space="preserve"> euros (prior year: 473</w:t>
      </w:r>
      <w:r w:rsidR="00F10D8C" w:rsidRPr="00063033">
        <w:rPr>
          <w:rFonts w:ascii="Calibri" w:hAnsi="Calibri"/>
        </w:rPr>
        <w:t> million</w:t>
      </w:r>
      <w:r w:rsidRPr="00063033">
        <w:rPr>
          <w:rFonts w:ascii="Calibri" w:hAnsi="Calibri"/>
        </w:rPr>
        <w:t xml:space="preserve"> euros), the Schaeffler Group’s free cash flow before cash in</w:t>
      </w:r>
      <w:r w:rsidR="00F7608B" w:rsidRPr="00063033">
        <w:rPr>
          <w:rFonts w:ascii="Calibri" w:hAnsi="Calibri"/>
        </w:rPr>
        <w:t>-</w:t>
      </w:r>
      <w:r w:rsidRPr="00063033">
        <w:rPr>
          <w:rFonts w:ascii="Calibri" w:hAnsi="Calibri"/>
        </w:rPr>
        <w:t xml:space="preserve"> and outflows for M&amp;A activities was positive and fell </w:t>
      </w:r>
      <w:r w:rsidRPr="00063033">
        <w:rPr>
          <w:rFonts w:ascii="Calibri" w:hAnsi="Calibri"/>
        </w:rPr>
        <w:lastRenderedPageBreak/>
        <w:t>into the range of approximately 500 to 600</w:t>
      </w:r>
      <w:r w:rsidR="00F10D8C" w:rsidRPr="00063033">
        <w:rPr>
          <w:rFonts w:ascii="Calibri" w:hAnsi="Calibri"/>
        </w:rPr>
        <w:t> million</w:t>
      </w:r>
      <w:r w:rsidRPr="00063033">
        <w:rPr>
          <w:rFonts w:ascii="Calibri" w:hAnsi="Calibri"/>
        </w:rPr>
        <w:t xml:space="preserve"> euros called for by the adjusted guidance issued November 9, 2020. Capital expenditures (capex) on property, plant and equipment and intangible assets for the reporting period of 632</w:t>
      </w:r>
      <w:r w:rsidR="00F10D8C" w:rsidRPr="00063033">
        <w:rPr>
          <w:rFonts w:ascii="Calibri" w:hAnsi="Calibri"/>
        </w:rPr>
        <w:t> million</w:t>
      </w:r>
      <w:r w:rsidRPr="00063033">
        <w:rPr>
          <w:rFonts w:ascii="Calibri" w:hAnsi="Calibri"/>
        </w:rPr>
        <w:t xml:space="preserve"> euros </w:t>
      </w:r>
      <w:r w:rsidR="009316EA" w:rsidRPr="00063033">
        <w:rPr>
          <w:rFonts w:ascii="Calibri" w:hAnsi="Calibri"/>
        </w:rPr>
        <w:t>decreased to</w:t>
      </w:r>
      <w:r w:rsidRPr="00063033">
        <w:rPr>
          <w:rFonts w:ascii="Calibri" w:hAnsi="Calibri"/>
        </w:rPr>
        <w:t xml:space="preserve"> below the prior year level (1,045</w:t>
      </w:r>
      <w:r w:rsidR="00F10D8C" w:rsidRPr="00063033">
        <w:rPr>
          <w:rFonts w:ascii="Calibri" w:hAnsi="Calibri"/>
        </w:rPr>
        <w:t> million</w:t>
      </w:r>
      <w:r w:rsidRPr="00063033">
        <w:rPr>
          <w:rFonts w:ascii="Calibri" w:hAnsi="Calibri"/>
        </w:rPr>
        <w:t xml:space="preserve"> euros). This represents a capex ratio of 5.0</w:t>
      </w:r>
      <w:r w:rsidR="00F10D8C" w:rsidRPr="00063033">
        <w:rPr>
          <w:rFonts w:ascii="Calibri" w:hAnsi="Calibri"/>
        </w:rPr>
        <w:t> percent</w:t>
      </w:r>
      <w:r w:rsidRPr="00063033">
        <w:rPr>
          <w:rFonts w:ascii="Calibri" w:hAnsi="Calibri"/>
        </w:rPr>
        <w:t xml:space="preserve"> (prior year: 7.2</w:t>
      </w:r>
      <w:r w:rsidR="00F10D8C" w:rsidRPr="00063033">
        <w:rPr>
          <w:rFonts w:ascii="Calibri" w:hAnsi="Calibri"/>
        </w:rPr>
        <w:t> percent</w:t>
      </w:r>
      <w:r w:rsidRPr="00063033">
        <w:rPr>
          <w:rFonts w:ascii="Calibri" w:hAnsi="Calibri"/>
        </w:rPr>
        <w:t>). The reinvestment rate amounted to 0.67 (prior year: 1.01).</w:t>
      </w:r>
    </w:p>
    <w:p w14:paraId="6D00B8F4" w14:textId="77777777" w:rsidR="000F6D0F" w:rsidRPr="00063033" w:rsidRDefault="000F6D0F" w:rsidP="00C113C7">
      <w:pPr>
        <w:autoSpaceDE w:val="0"/>
        <w:autoSpaceDN w:val="0"/>
        <w:adjustRightInd w:val="0"/>
        <w:rPr>
          <w:rFonts w:ascii="Calibri" w:hAnsi="Calibri"/>
        </w:rPr>
      </w:pPr>
      <w:r w:rsidRPr="00063033">
        <w:rPr>
          <w:rFonts w:ascii="Calibri" w:hAnsi="Calibri"/>
        </w:rPr>
        <w:t>The group’s net financial debt amounted to 2,312</w:t>
      </w:r>
      <w:r w:rsidR="00F10D8C" w:rsidRPr="00063033">
        <w:rPr>
          <w:rFonts w:ascii="Calibri" w:hAnsi="Calibri"/>
        </w:rPr>
        <w:t> million</w:t>
      </w:r>
      <w:r w:rsidR="009316EA" w:rsidRPr="00063033">
        <w:rPr>
          <w:rFonts w:ascii="Calibri" w:hAnsi="Calibri"/>
        </w:rPr>
        <w:t xml:space="preserve"> euros as at December </w:t>
      </w:r>
      <w:r w:rsidRPr="00063033">
        <w:rPr>
          <w:rFonts w:ascii="Calibri" w:hAnsi="Calibri"/>
        </w:rPr>
        <w:t>31, 2020 (December 31, 2019: 2,526</w:t>
      </w:r>
      <w:r w:rsidR="00F10D8C" w:rsidRPr="00063033">
        <w:rPr>
          <w:rFonts w:ascii="Calibri" w:hAnsi="Calibri"/>
        </w:rPr>
        <w:t> million</w:t>
      </w:r>
      <w:r w:rsidRPr="00063033">
        <w:rPr>
          <w:rFonts w:ascii="Calibri" w:hAnsi="Calibri"/>
        </w:rPr>
        <w:t xml:space="preserve"> euros). The related gearing ratio, i.e. the ratio of net financial debt to shareholders’ equity, rose to 125.8</w:t>
      </w:r>
      <w:r w:rsidR="00F10D8C" w:rsidRPr="00063033">
        <w:rPr>
          <w:rFonts w:ascii="Calibri" w:hAnsi="Calibri"/>
        </w:rPr>
        <w:t> percent</w:t>
      </w:r>
      <w:r w:rsidRPr="00063033">
        <w:rPr>
          <w:rFonts w:ascii="Calibri" w:hAnsi="Calibri"/>
        </w:rPr>
        <w:t xml:space="preserve"> (December 31, 2019: 86.6</w:t>
      </w:r>
      <w:r w:rsidR="00F10D8C" w:rsidRPr="00063033">
        <w:rPr>
          <w:rFonts w:ascii="Calibri" w:hAnsi="Calibri"/>
        </w:rPr>
        <w:t> percent</w:t>
      </w:r>
      <w:r w:rsidRPr="00063033">
        <w:rPr>
          <w:rFonts w:ascii="Calibri" w:hAnsi="Calibri"/>
        </w:rPr>
        <w:t>). The Schaeffler Group, whose total assets increased to approximately 13.2 billion euros as at December 31, 2020 (prior year: approximately 12.9 billion euros), employed a workforce of 83,297 as at that date (prior year: 87,748), a reduction of approximately 5.1</w:t>
      </w:r>
      <w:r w:rsidR="00F10D8C" w:rsidRPr="00063033">
        <w:rPr>
          <w:rFonts w:ascii="Calibri" w:hAnsi="Calibri"/>
        </w:rPr>
        <w:t> percent</w:t>
      </w:r>
      <w:r w:rsidRPr="00063033">
        <w:rPr>
          <w:rFonts w:ascii="Calibri" w:hAnsi="Calibri"/>
        </w:rPr>
        <w:t xml:space="preserve">. </w:t>
      </w:r>
    </w:p>
    <w:p w14:paraId="3B088E76" w14:textId="7CB74745" w:rsidR="000F4A03" w:rsidRPr="00063033" w:rsidRDefault="004C7FEA" w:rsidP="00C113C7">
      <w:pPr>
        <w:autoSpaceDE w:val="0"/>
        <w:autoSpaceDN w:val="0"/>
        <w:adjustRightInd w:val="0"/>
        <w:rPr>
          <w:rFonts w:ascii="Calibri" w:hAnsi="Calibri"/>
          <w:bCs/>
        </w:rPr>
      </w:pPr>
      <w:r w:rsidRPr="00063033">
        <w:rPr>
          <w:rFonts w:ascii="Calibri" w:hAnsi="Calibri"/>
          <w:b/>
        </w:rPr>
        <w:t>Guidance for 2021 based on c</w:t>
      </w:r>
      <w:r w:rsidR="00705B64">
        <w:rPr>
          <w:rFonts w:ascii="Calibri" w:hAnsi="Calibri"/>
          <w:b/>
        </w:rPr>
        <w:t>autious</w:t>
      </w:r>
      <w:r w:rsidRPr="00063033">
        <w:rPr>
          <w:rFonts w:ascii="Calibri" w:hAnsi="Calibri"/>
          <w:b/>
        </w:rPr>
        <w:t xml:space="preserve"> market </w:t>
      </w:r>
      <w:r w:rsidR="004C32D9" w:rsidRPr="00063033">
        <w:rPr>
          <w:rFonts w:ascii="Calibri" w:hAnsi="Calibri"/>
          <w:b/>
        </w:rPr>
        <w:t>assessment</w:t>
      </w:r>
      <w:r w:rsidR="00E622E7">
        <w:rPr>
          <w:rFonts w:ascii="Calibri" w:hAnsi="Calibri"/>
          <w:b/>
        </w:rPr>
        <w:br/>
      </w:r>
      <w:r w:rsidR="004A7F39" w:rsidRPr="00063033">
        <w:rPr>
          <w:rFonts w:ascii="Calibri" w:hAnsi="Calibri"/>
        </w:rPr>
        <w:t>The Schaeffler Group expects its revenue to grow considerably in 2021, rising by more than 7</w:t>
      </w:r>
      <w:r w:rsidR="00F10D8C" w:rsidRPr="00063033">
        <w:rPr>
          <w:rFonts w:ascii="Calibri" w:hAnsi="Calibri"/>
        </w:rPr>
        <w:t> percent</w:t>
      </w:r>
      <w:r w:rsidR="004A7F39" w:rsidRPr="00063033">
        <w:rPr>
          <w:rFonts w:ascii="Calibri" w:hAnsi="Calibri"/>
        </w:rPr>
        <w:t xml:space="preserve"> </w:t>
      </w:r>
      <w:r w:rsidR="009316EA" w:rsidRPr="00063033">
        <w:rPr>
          <w:rFonts w:ascii="Calibri" w:hAnsi="Calibri"/>
        </w:rPr>
        <w:t>at constant currency</w:t>
      </w:r>
      <w:r w:rsidR="004A7F39" w:rsidRPr="00063033">
        <w:rPr>
          <w:rFonts w:ascii="Calibri" w:hAnsi="Calibri"/>
        </w:rPr>
        <w:t xml:space="preserve">. </w:t>
      </w:r>
      <w:r w:rsidR="004A7F39" w:rsidRPr="00063033">
        <w:t xml:space="preserve">The lower limit is based on a conservative assessment of the market in terms of global growth in the production of passenger cars and light commercial vehicles. </w:t>
      </w:r>
      <w:r w:rsidR="004A7F39" w:rsidRPr="00063033">
        <w:rPr>
          <w:rFonts w:ascii="Calibri" w:hAnsi="Calibri"/>
        </w:rPr>
        <w:t>In addition, the company expects to generate an EBIT margin</w:t>
      </w:r>
      <w:r w:rsidR="006847F5" w:rsidRPr="00063033">
        <w:rPr>
          <w:rFonts w:ascii="Calibri" w:hAnsi="Calibri"/>
        </w:rPr>
        <w:t xml:space="preserve"> before special items of 6 to 8</w:t>
      </w:r>
      <w:r w:rsidR="00F10D8C" w:rsidRPr="00063033">
        <w:rPr>
          <w:rFonts w:ascii="Calibri" w:hAnsi="Calibri"/>
        </w:rPr>
        <w:t> percent</w:t>
      </w:r>
      <w:r w:rsidR="004A7F39" w:rsidRPr="00063033">
        <w:rPr>
          <w:rFonts w:ascii="Calibri" w:hAnsi="Calibri"/>
        </w:rPr>
        <w:t xml:space="preserve"> in 2021. The Schaeffler Group also anticipates free cash flow before cash in</w:t>
      </w:r>
      <w:r w:rsidR="00F7608B" w:rsidRPr="00063033">
        <w:rPr>
          <w:rFonts w:ascii="Calibri" w:hAnsi="Calibri"/>
        </w:rPr>
        <w:t>-</w:t>
      </w:r>
      <w:r w:rsidR="004A7F39" w:rsidRPr="00063033">
        <w:rPr>
          <w:rFonts w:ascii="Calibri" w:hAnsi="Calibri"/>
        </w:rPr>
        <w:t xml:space="preserve"> and outflows for M&amp;A activities for 2021 to amount to approximately 100</w:t>
      </w:r>
      <w:r w:rsidR="00F10D8C" w:rsidRPr="00063033">
        <w:rPr>
          <w:rFonts w:ascii="Calibri" w:hAnsi="Calibri"/>
        </w:rPr>
        <w:t> million</w:t>
      </w:r>
      <w:r w:rsidR="006847F5" w:rsidRPr="00063033">
        <w:rPr>
          <w:rFonts w:ascii="Calibri" w:hAnsi="Calibri"/>
        </w:rPr>
        <w:t xml:space="preserve"> euros</w:t>
      </w:r>
      <w:r w:rsidR="004A7F39" w:rsidRPr="00063033">
        <w:rPr>
          <w:rFonts w:ascii="Calibri" w:hAnsi="Calibri"/>
        </w:rPr>
        <w:t xml:space="preserve">. </w:t>
      </w:r>
      <w:r w:rsidR="004A7F39" w:rsidRPr="00063033">
        <w:t>This expectation reflects a volume</w:t>
      </w:r>
      <w:r w:rsidR="00F7608B" w:rsidRPr="00063033">
        <w:t>-</w:t>
      </w:r>
      <w:r w:rsidR="004A7F39" w:rsidRPr="00063033">
        <w:t xml:space="preserve">driven increase in working capital, </w:t>
      </w:r>
      <w:proofErr w:type="spellStart"/>
      <w:r w:rsidR="004A7F39" w:rsidRPr="00063033">
        <w:t>normali</w:t>
      </w:r>
      <w:r w:rsidR="008D07CC">
        <w:t>s</w:t>
      </w:r>
      <w:r w:rsidR="004A7F39" w:rsidRPr="00063033">
        <w:t>ation</w:t>
      </w:r>
      <w:proofErr w:type="spellEnd"/>
      <w:r w:rsidR="004A7F39" w:rsidRPr="00063033">
        <w:t xml:space="preserve"> of capital expenditures, and higher restructuring expenditures compared to the prior year.</w:t>
      </w:r>
    </w:p>
    <w:p w14:paraId="524E1125" w14:textId="77777777" w:rsidR="00A83896" w:rsidRPr="00063033" w:rsidRDefault="00A83896" w:rsidP="00C113C7">
      <w:pPr>
        <w:autoSpaceDE w:val="0"/>
        <w:autoSpaceDN w:val="0"/>
        <w:adjustRightInd w:val="0"/>
      </w:pPr>
      <w:r w:rsidRPr="00063033">
        <w:t>The group anticipates that its Automotive Technologies division will grow by 2 to 5</w:t>
      </w:r>
      <w:r w:rsidR="00F10D8C" w:rsidRPr="00063033">
        <w:t> percent</w:t>
      </w:r>
      <w:r w:rsidRPr="00063033">
        <w:t>age points more than global automobile production of passenger cars and light commercial vehicles. On that basis, the company expects the Automotive Tec</w:t>
      </w:r>
      <w:r w:rsidR="003F62B3" w:rsidRPr="00063033">
        <w:t>hnologies division to generate revenue growth</w:t>
      </w:r>
      <w:r w:rsidR="009316EA" w:rsidRPr="00063033">
        <w:t xml:space="preserve"> that is considerably positive at constant currency</w:t>
      </w:r>
      <w:r w:rsidRPr="00063033">
        <w:t>, and to slightly improve its EBIT margin before special items over the prior year by raising it to more than 4.5</w:t>
      </w:r>
      <w:r w:rsidR="00F10D8C" w:rsidRPr="00063033">
        <w:t> percent</w:t>
      </w:r>
      <w:r w:rsidRPr="00063033">
        <w:t>.</w:t>
      </w:r>
    </w:p>
    <w:p w14:paraId="17F48ED6" w14:textId="2134E6CE" w:rsidR="00A83896" w:rsidRPr="00063033" w:rsidRDefault="00A83896" w:rsidP="00C113C7">
      <w:pPr>
        <w:autoSpaceDE w:val="0"/>
        <w:autoSpaceDN w:val="0"/>
        <w:adjustRightInd w:val="0"/>
      </w:pPr>
      <w:r w:rsidRPr="00063033">
        <w:t xml:space="preserve">For the Automotive Aftermarket division, the group anticipates </w:t>
      </w:r>
      <w:r w:rsidR="009316EA" w:rsidRPr="00063033">
        <w:t>constant</w:t>
      </w:r>
      <w:r w:rsidR="005D624F">
        <w:t xml:space="preserve"> </w:t>
      </w:r>
      <w:r w:rsidR="009316EA" w:rsidRPr="00063033">
        <w:t xml:space="preserve">currency </w:t>
      </w:r>
      <w:r w:rsidR="000579FB" w:rsidRPr="00063033">
        <w:t>revenue growth</w:t>
      </w:r>
      <w:r w:rsidRPr="00063033">
        <w:t xml:space="preserve"> of 5 to 7</w:t>
      </w:r>
      <w:r w:rsidR="00F10D8C" w:rsidRPr="00063033">
        <w:t> percent</w:t>
      </w:r>
      <w:r w:rsidRPr="00063033">
        <w:t xml:space="preserve"> and an EBIT margin before special items slightly lower than in the prior year at more than 11.5</w:t>
      </w:r>
      <w:r w:rsidR="00F10D8C" w:rsidRPr="00063033">
        <w:t> percent</w:t>
      </w:r>
      <w:r w:rsidRPr="00063033">
        <w:t xml:space="preserve"> in 2021. This expectation reflects higher product expenses, a temporary increase in logistics expenses related to the assembly and packaging cent</w:t>
      </w:r>
      <w:r w:rsidR="008D07CC">
        <w:t>re</w:t>
      </w:r>
      <w:r w:rsidRPr="00063033">
        <w:t xml:space="preserve"> in Halle (Saale) commencing operations, expenses for digitali</w:t>
      </w:r>
      <w:r w:rsidR="008D07CC">
        <w:t>s</w:t>
      </w:r>
      <w:r w:rsidRPr="00063033">
        <w:t>ation, and an adverse impact of currency translation.</w:t>
      </w:r>
    </w:p>
    <w:p w14:paraId="1C186BC8" w14:textId="77777777" w:rsidR="00A83896" w:rsidRPr="00063033" w:rsidRDefault="00A83896" w:rsidP="00C113C7">
      <w:pPr>
        <w:autoSpaceDE w:val="0"/>
        <w:autoSpaceDN w:val="0"/>
        <w:adjustRightInd w:val="0"/>
        <w:rPr>
          <w:rFonts w:ascii="Calibri" w:hAnsi="Calibri"/>
          <w:bCs/>
        </w:rPr>
      </w:pPr>
      <w:r w:rsidRPr="00063033">
        <w:t>Given the range of estimates Oxford Economics and others have made regarding growth in global industrial production, the company expects its Industrial division to generate revenue growth of 4 to 6</w:t>
      </w:r>
      <w:r w:rsidR="00F10D8C" w:rsidRPr="00063033">
        <w:t> percent</w:t>
      </w:r>
      <w:r w:rsidR="009316EA" w:rsidRPr="00063033">
        <w:t xml:space="preserve"> at constant currency</w:t>
      </w:r>
      <w:r w:rsidR="000579FB" w:rsidRPr="00063033">
        <w:t xml:space="preserve"> and an EBIT </w:t>
      </w:r>
      <w:r w:rsidRPr="00063033">
        <w:t>margin before special items in the high single</w:t>
      </w:r>
      <w:r w:rsidR="00F7608B" w:rsidRPr="00063033">
        <w:t>-</w:t>
      </w:r>
      <w:r w:rsidRPr="00063033">
        <w:t>digits above 8.5</w:t>
      </w:r>
      <w:r w:rsidR="00F10D8C" w:rsidRPr="00063033">
        <w:t> percent</w:t>
      </w:r>
      <w:r w:rsidRPr="00063033">
        <w:t xml:space="preserve"> in 2021.</w:t>
      </w:r>
    </w:p>
    <w:p w14:paraId="6FEB886F" w14:textId="77777777" w:rsidR="004A7F39" w:rsidRPr="00063033" w:rsidRDefault="0024190C" w:rsidP="00C113C7">
      <w:pPr>
        <w:autoSpaceDE w:val="0"/>
        <w:autoSpaceDN w:val="0"/>
        <w:adjustRightInd w:val="0"/>
        <w:rPr>
          <w:rFonts w:ascii="Calibri" w:hAnsi="Calibri"/>
          <w:bCs/>
        </w:rPr>
      </w:pPr>
      <w:r w:rsidRPr="00063033">
        <w:rPr>
          <w:rFonts w:ascii="Calibri" w:hAnsi="Calibri"/>
        </w:rPr>
        <w:lastRenderedPageBreak/>
        <w:t xml:space="preserve">Dr. Klaus Patzak, CFO of Schaeffler AG, said: “We </w:t>
      </w:r>
      <w:r w:rsidR="000579FB" w:rsidRPr="00063033">
        <w:rPr>
          <w:rFonts w:ascii="Calibri" w:hAnsi="Calibri"/>
        </w:rPr>
        <w:t xml:space="preserve">are </w:t>
      </w:r>
      <w:r w:rsidRPr="00063033">
        <w:rPr>
          <w:rFonts w:ascii="Calibri" w:hAnsi="Calibri"/>
        </w:rPr>
        <w:t>confidently look</w:t>
      </w:r>
      <w:r w:rsidR="000579FB" w:rsidRPr="00063033">
        <w:rPr>
          <w:rFonts w:ascii="Calibri" w:hAnsi="Calibri"/>
        </w:rPr>
        <w:t>ing</w:t>
      </w:r>
      <w:r w:rsidRPr="00063033">
        <w:rPr>
          <w:rFonts w:ascii="Calibri" w:hAnsi="Calibri"/>
        </w:rPr>
        <w:t xml:space="preserve"> ahead to the coming year and anticipate relatively robust growth for our markets. However, the economic environment remains challenging in times of the pandemic, and we do not expect to reach pre</w:t>
      </w:r>
      <w:r w:rsidR="00F7608B" w:rsidRPr="00063033">
        <w:rPr>
          <w:rFonts w:ascii="Calibri" w:hAnsi="Calibri"/>
        </w:rPr>
        <w:t>-</w:t>
      </w:r>
      <w:r w:rsidRPr="00063033">
        <w:rPr>
          <w:rFonts w:ascii="Calibri" w:hAnsi="Calibri"/>
        </w:rPr>
        <w:t>crisis levels until after 2022. Our guidance reflects that.”</w:t>
      </w:r>
    </w:p>
    <w:p w14:paraId="11F400A9" w14:textId="14784DED" w:rsidR="00732A81" w:rsidRDefault="00AA723A" w:rsidP="00C113C7">
      <w:pPr>
        <w:autoSpaceDE w:val="0"/>
        <w:autoSpaceDN w:val="0"/>
        <w:adjustRightInd w:val="0"/>
        <w:rPr>
          <w:rFonts w:ascii="Calibri" w:hAnsi="Calibri"/>
          <w:bCs/>
        </w:rPr>
      </w:pPr>
      <w:r w:rsidRPr="00063033">
        <w:rPr>
          <w:rFonts w:ascii="Calibri" w:hAnsi="Calibri"/>
          <w:b/>
        </w:rPr>
        <w:t>Roadmap 2025</w:t>
      </w:r>
      <w:r w:rsidR="004C32D9" w:rsidRPr="00063033">
        <w:rPr>
          <w:rFonts w:ascii="Calibri" w:hAnsi="Calibri"/>
          <w:b/>
        </w:rPr>
        <w:t xml:space="preserve"> kicked off and execution</w:t>
      </w:r>
      <w:r w:rsidR="00A72030" w:rsidRPr="00063033">
        <w:rPr>
          <w:rFonts w:ascii="Calibri" w:hAnsi="Calibri"/>
          <w:b/>
        </w:rPr>
        <w:t xml:space="preserve"> </w:t>
      </w:r>
      <w:r w:rsidR="004C32D9" w:rsidRPr="00063033">
        <w:rPr>
          <w:rFonts w:ascii="Calibri" w:hAnsi="Calibri"/>
          <w:b/>
        </w:rPr>
        <w:t>started</w:t>
      </w:r>
      <w:r w:rsidR="00E622E7">
        <w:rPr>
          <w:rFonts w:ascii="Calibri" w:hAnsi="Calibri"/>
          <w:b/>
        </w:rPr>
        <w:br/>
      </w:r>
      <w:r w:rsidRPr="00063033">
        <w:rPr>
          <w:rFonts w:ascii="Calibri" w:hAnsi="Calibri"/>
        </w:rPr>
        <w:t>On November 18, 2020, the Schaeffler Group presented its Roadmap 2025 at its 2020 Capital Markets Day. The Roadmap 2025 updates Schaeffler’s corporate strategy to 2025, sets out a program for its execution, and includes a set of mid</w:t>
      </w:r>
      <w:r w:rsidR="00F7608B" w:rsidRPr="00063033">
        <w:rPr>
          <w:rFonts w:ascii="Calibri" w:hAnsi="Calibri"/>
        </w:rPr>
        <w:t>-</w:t>
      </w:r>
      <w:r w:rsidRPr="00063033">
        <w:rPr>
          <w:rFonts w:ascii="Calibri" w:hAnsi="Calibri"/>
        </w:rPr>
        <w:t>term targets.</w:t>
      </w:r>
      <w:r w:rsidR="00443EB9" w:rsidRPr="00063033">
        <w:rPr>
          <w:rFonts w:ascii="Calibri" w:hAnsi="Calibri"/>
        </w:rPr>
        <w:t xml:space="preserve"> </w:t>
      </w:r>
      <w:r w:rsidRPr="00063033">
        <w:rPr>
          <w:rFonts w:ascii="Calibri" w:hAnsi="Calibri"/>
        </w:rPr>
        <w:t xml:space="preserve">The Roadmap 2025 </w:t>
      </w:r>
      <w:r w:rsidR="004C32D9" w:rsidRPr="00063033">
        <w:rPr>
          <w:rFonts w:ascii="Calibri" w:hAnsi="Calibri"/>
        </w:rPr>
        <w:t xml:space="preserve">shows the way forward. It </w:t>
      </w:r>
      <w:r w:rsidRPr="00063033">
        <w:rPr>
          <w:rFonts w:ascii="Calibri" w:hAnsi="Calibri"/>
        </w:rPr>
        <w:t>stands for continuity and expanding the company’s strengths, but also for improving and advancing with respect to new technologies and business models as well as costs and efficiency. Meanwhile, the new corporate claim, “We pioneer motion”, expresses Schaeffler’s commitment to continuing to shape motion and progress by</w:t>
      </w:r>
      <w:r w:rsidR="006847F5" w:rsidRPr="00063033">
        <w:rPr>
          <w:rFonts w:ascii="Calibri" w:hAnsi="Calibri"/>
        </w:rPr>
        <w:t xml:space="preserve"> </w:t>
      </w:r>
      <w:r w:rsidRPr="00063033">
        <w:rPr>
          <w:rFonts w:ascii="Calibri" w:hAnsi="Calibri"/>
        </w:rPr>
        <w:t xml:space="preserve">being a diversified automotive and industrial supplier with a global reach. This will require even more effective use of the synergies available within the Schaeffler Group. The company’s success will continue to be based on its four proven key differentiators of innovation, </w:t>
      </w:r>
      <w:r w:rsidR="00A72030" w:rsidRPr="00063033">
        <w:rPr>
          <w:rFonts w:ascii="Calibri" w:hAnsi="Calibri"/>
        </w:rPr>
        <w:t xml:space="preserve">superior </w:t>
      </w:r>
      <w:r w:rsidRPr="00063033">
        <w:rPr>
          <w:rFonts w:ascii="Calibri" w:hAnsi="Calibri"/>
        </w:rPr>
        <w:t>qualit</w:t>
      </w:r>
      <w:r>
        <w:rPr>
          <w:rFonts w:ascii="Calibri" w:hAnsi="Calibri"/>
        </w:rPr>
        <w:t>y, system understanding</w:t>
      </w:r>
      <w:r w:rsidR="005D6B8B">
        <w:rPr>
          <w:rFonts w:ascii="Calibri" w:hAnsi="Calibri"/>
        </w:rPr>
        <w:t>,</w:t>
      </w:r>
      <w:r w:rsidR="004C32D9">
        <w:rPr>
          <w:rFonts w:ascii="Calibri" w:hAnsi="Calibri"/>
        </w:rPr>
        <w:t xml:space="preserve"> and manufacturing excellence</w:t>
      </w:r>
      <w:r>
        <w:rPr>
          <w:rFonts w:ascii="Calibri" w:hAnsi="Calibri"/>
        </w:rPr>
        <w:t>.</w:t>
      </w:r>
    </w:p>
    <w:p w14:paraId="58C9FBB4" w14:textId="01321617" w:rsidR="005E7FA9" w:rsidRDefault="00732A81" w:rsidP="00C113C7">
      <w:pPr>
        <w:autoSpaceDE w:val="0"/>
        <w:autoSpaceDN w:val="0"/>
        <w:adjustRightInd w:val="0"/>
        <w:rPr>
          <w:rFonts w:ascii="Calibri" w:hAnsi="Calibri"/>
        </w:rPr>
      </w:pPr>
      <w:r>
        <w:rPr>
          <w:rFonts w:ascii="Calibri" w:hAnsi="Calibri"/>
        </w:rPr>
        <w:t>“The year 2020 was marked by great uncertaint</w:t>
      </w:r>
      <w:r w:rsidR="000579FB">
        <w:rPr>
          <w:rFonts w:ascii="Calibri" w:hAnsi="Calibri"/>
        </w:rPr>
        <w:t>ies</w:t>
      </w:r>
      <w:r>
        <w:rPr>
          <w:rFonts w:ascii="Calibri" w:hAnsi="Calibri"/>
        </w:rPr>
        <w:t xml:space="preserve"> that still persist today.</w:t>
      </w:r>
      <w:r w:rsidR="00443EB9">
        <w:rPr>
          <w:rFonts w:ascii="Calibri" w:hAnsi="Calibri"/>
        </w:rPr>
        <w:t xml:space="preserve"> </w:t>
      </w:r>
      <w:r w:rsidR="000579FB">
        <w:rPr>
          <w:rFonts w:ascii="Calibri" w:hAnsi="Calibri"/>
        </w:rPr>
        <w:t xml:space="preserve">Once again, </w:t>
      </w:r>
      <w:r>
        <w:rPr>
          <w:rFonts w:ascii="Calibri" w:hAnsi="Calibri"/>
        </w:rPr>
        <w:t xml:space="preserve">our positioning as an automotive and industrial supplier operating worldwide has </w:t>
      </w:r>
      <w:r w:rsidR="000579FB">
        <w:rPr>
          <w:rFonts w:ascii="Calibri" w:hAnsi="Calibri"/>
        </w:rPr>
        <w:t>proven to serve us well</w:t>
      </w:r>
      <w:r>
        <w:rPr>
          <w:rFonts w:ascii="Calibri" w:hAnsi="Calibri"/>
        </w:rPr>
        <w:t xml:space="preserve"> in difficult times and has helped us weather the crisis relatively well,” stated Klaus Rosenfeld, CEO of Schaeffler AG. “We used the year of crisis to hone our </w:t>
      </w:r>
      <w:r w:rsidRPr="00F75CAF">
        <w:rPr>
          <w:rFonts w:ascii="Calibri" w:hAnsi="Calibri"/>
        </w:rPr>
        <w:t xml:space="preserve">strategy and orient it toward current challenges and opportunities as part of the Roadmap 2025. Our main focus </w:t>
      </w:r>
      <w:r w:rsidR="005D6B8B" w:rsidRPr="00F75CAF">
        <w:rPr>
          <w:rFonts w:ascii="Calibri" w:hAnsi="Calibri"/>
        </w:rPr>
        <w:t xml:space="preserve">is </w:t>
      </w:r>
      <w:r w:rsidRPr="00F75CAF">
        <w:rPr>
          <w:rFonts w:ascii="Calibri" w:hAnsi="Calibri"/>
        </w:rPr>
        <w:t>now</w:t>
      </w:r>
      <w:r w:rsidR="000579FB" w:rsidRPr="00F75CAF">
        <w:rPr>
          <w:rFonts w:ascii="Calibri" w:hAnsi="Calibri"/>
        </w:rPr>
        <w:t xml:space="preserve"> on </w:t>
      </w:r>
      <w:r w:rsidRPr="00F75CAF">
        <w:rPr>
          <w:rFonts w:ascii="Calibri" w:hAnsi="Calibri"/>
        </w:rPr>
        <w:t>consistently executing the Roadmap 2025.”</w:t>
      </w:r>
      <w:r>
        <w:rPr>
          <w:rFonts w:ascii="Calibri" w:hAnsi="Calibri"/>
        </w:rPr>
        <w:t xml:space="preserve"> </w:t>
      </w:r>
    </w:p>
    <w:p w14:paraId="45552E17" w14:textId="77777777" w:rsidR="00E622E7" w:rsidRPr="000B72BF" w:rsidRDefault="00E622E7" w:rsidP="00E622E7">
      <w:pPr>
        <w:pStyle w:val="NormalWeb"/>
        <w:rPr>
          <w:rStyle w:val="Hyperlink"/>
          <w:rFonts w:ascii="Calibri" w:hAnsi="Calibri" w:cs="Calibri"/>
          <w:szCs w:val="16"/>
        </w:rPr>
      </w:pPr>
      <w:r w:rsidRPr="000B72BF">
        <w:rPr>
          <w:rFonts w:ascii="Calibri" w:hAnsi="Calibri"/>
          <w:b/>
          <w:sz w:val="22"/>
          <w:szCs w:val="16"/>
        </w:rPr>
        <w:t xml:space="preserve">You can find our annual report at: </w:t>
      </w:r>
      <w:hyperlink r:id="rId11" w:history="1">
        <w:r w:rsidRPr="000B72BF">
          <w:rPr>
            <w:rStyle w:val="Hyperlink"/>
            <w:rFonts w:ascii="Calibri" w:hAnsi="Calibri"/>
            <w:szCs w:val="16"/>
          </w:rPr>
          <w:t>www.schaeffler-annual-report.com</w:t>
        </w:r>
      </w:hyperlink>
    </w:p>
    <w:p w14:paraId="6FD5F275" w14:textId="77777777" w:rsidR="00E622E7" w:rsidRDefault="00E622E7" w:rsidP="00E622E7">
      <w:pPr>
        <w:pStyle w:val="NormalWeb"/>
        <w:rPr>
          <w:rStyle w:val="Hyperlink"/>
          <w:rFonts w:ascii="Calibri" w:hAnsi="Calibri" w:cs="Calibri"/>
          <w:szCs w:val="16"/>
        </w:rPr>
      </w:pPr>
      <w:r w:rsidRPr="000B72BF">
        <w:rPr>
          <w:rFonts w:ascii="Calibri" w:hAnsi="Calibri" w:cs="Calibri"/>
          <w:b/>
          <w:sz w:val="22"/>
          <w:szCs w:val="16"/>
        </w:rPr>
        <w:t>Here you find our digital press kit:</w:t>
      </w:r>
      <w:r w:rsidRPr="00681C41">
        <w:rPr>
          <w:rFonts w:ascii="Calibri" w:hAnsi="Calibri" w:cs="Calibri"/>
          <w:bCs/>
          <w:sz w:val="22"/>
          <w:szCs w:val="16"/>
        </w:rPr>
        <w:t xml:space="preserve"> </w:t>
      </w:r>
      <w:hyperlink r:id="rId12" w:history="1">
        <w:r>
          <w:rPr>
            <w:rStyle w:val="Hyperlink"/>
            <w:rFonts w:ascii="Calibri" w:hAnsi="Calibri"/>
            <w:szCs w:val="16"/>
          </w:rPr>
          <w:t>www.schaeffler.com/apc</w:t>
        </w:r>
      </w:hyperlink>
    </w:p>
    <w:p w14:paraId="54A7D2F7" w14:textId="77777777" w:rsidR="00E622E7" w:rsidRDefault="00E622E7" w:rsidP="00C113C7">
      <w:pPr>
        <w:autoSpaceDE w:val="0"/>
        <w:autoSpaceDN w:val="0"/>
        <w:adjustRightInd w:val="0"/>
        <w:rPr>
          <w:rFonts w:ascii="Calibri" w:hAnsi="Calibri"/>
          <w:bCs/>
        </w:rPr>
      </w:pPr>
    </w:p>
    <w:p w14:paraId="57CA1DF4" w14:textId="77777777" w:rsidR="00970557" w:rsidRDefault="00970557" w:rsidP="00C113C7">
      <w:pPr>
        <w:autoSpaceDE w:val="0"/>
        <w:autoSpaceDN w:val="0"/>
        <w:adjustRightInd w:val="0"/>
        <w:rPr>
          <w:rFonts w:ascii="Calibri" w:hAnsi="Calibri"/>
          <w:bCs/>
        </w:rPr>
      </w:pPr>
    </w:p>
    <w:p w14:paraId="7FEBF340" w14:textId="77777777" w:rsidR="00977CAB" w:rsidRPr="00A154BD" w:rsidRDefault="00977CAB" w:rsidP="00C113C7">
      <w:pPr>
        <w:pStyle w:val="Hinweisfett"/>
      </w:pPr>
      <w:r>
        <w:t>Forward</w:t>
      </w:r>
      <w:r w:rsidR="00F7608B">
        <w:t>-</w:t>
      </w:r>
      <w:r>
        <w:t>looking statements and projections</w:t>
      </w:r>
    </w:p>
    <w:p w14:paraId="19DFE7BF" w14:textId="77777777" w:rsidR="00977CAB" w:rsidRPr="00A154BD" w:rsidRDefault="00977CAB" w:rsidP="00C113C7">
      <w:pPr>
        <w:pStyle w:val="Hinweis"/>
      </w:pPr>
      <w:r>
        <w:t>Certain statements in this press release are forward</w:t>
      </w:r>
      <w:r w:rsidR="00F7608B">
        <w:t>-</w:t>
      </w:r>
      <w:r>
        <w:t>looking statements. By their nature, forward</w:t>
      </w:r>
      <w:r w:rsidR="00F7608B">
        <w:t>-</w:t>
      </w:r>
      <w:r>
        <w:t>looking statements involve a number of risks, uncertainties and assumptions that could cause actual results or events to differ materially from those expressed or implied by the forward</w:t>
      </w:r>
      <w:r w:rsidR="00F7608B">
        <w:t>-</w:t>
      </w:r>
      <w:r>
        <w:t>looking statements. These risks, uncertainties and assumptions could adversely affect the outcome and financial consequences of the plans and events described herein. No one undertakes any obligation to publicly update or revise any forward</w:t>
      </w:r>
      <w:r w:rsidR="00F7608B">
        <w:t>-</w:t>
      </w:r>
      <w:r>
        <w:t>looking statement, whether as a result of new information, future events or otherwise. You should not place any undue reliance on forward</w:t>
      </w:r>
      <w:r w:rsidR="00F7608B">
        <w:t>-</w:t>
      </w:r>
      <w:r>
        <w:t>looking statements which speak only as of the date of this press release. Statements contained in this press release regarding past trends or events should not be taken as representation that such trends or events will continue in the future. The cautionary statements set out above should be considered in connection with any subsequent written or oral forward</w:t>
      </w:r>
      <w:r w:rsidR="00F7608B">
        <w:t>-</w:t>
      </w:r>
      <w:r>
        <w:t>looking statements that Schaeffler, or persons acting on its behalf, may issue.</w:t>
      </w:r>
    </w:p>
    <w:tbl>
      <w:tblPr>
        <w:tblStyle w:val="TableGrid"/>
        <w:tblW w:w="7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8"/>
      </w:tblGrid>
      <w:tr w:rsidR="00977CAB" w:rsidRPr="00B00195" w14:paraId="14800445" w14:textId="77777777" w:rsidTr="00B92949">
        <w:trPr>
          <w:trHeight w:hRule="exact" w:val="275"/>
        </w:trPr>
        <w:tc>
          <w:tcPr>
            <w:tcW w:w="7448" w:type="dxa"/>
            <w:tcBorders>
              <w:bottom w:val="single" w:sz="2" w:space="0" w:color="646464"/>
            </w:tcBorders>
          </w:tcPr>
          <w:p w14:paraId="3DCA49DA" w14:textId="77777777" w:rsidR="00977CAB" w:rsidRPr="00B00195" w:rsidRDefault="00977CAB" w:rsidP="00C113C7"/>
        </w:tc>
      </w:tr>
      <w:tr w:rsidR="00977CAB" w:rsidRPr="00B00195" w14:paraId="744E395B" w14:textId="77777777" w:rsidTr="00B92949">
        <w:trPr>
          <w:trHeight w:hRule="exact" w:val="275"/>
        </w:trPr>
        <w:tc>
          <w:tcPr>
            <w:tcW w:w="7448" w:type="dxa"/>
            <w:tcBorders>
              <w:top w:val="single" w:sz="2" w:space="0" w:color="646464"/>
            </w:tcBorders>
          </w:tcPr>
          <w:p w14:paraId="0E3076E7" w14:textId="77777777" w:rsidR="00977CAB" w:rsidRPr="00B00195" w:rsidRDefault="00977CAB" w:rsidP="00C113C7"/>
        </w:tc>
      </w:tr>
    </w:tbl>
    <w:p w14:paraId="77FB5629" w14:textId="77777777" w:rsidR="00473579" w:rsidRPr="00CD7E4A" w:rsidRDefault="00473579" w:rsidP="00C113C7">
      <w:pPr>
        <w:pStyle w:val="Hinweisfett"/>
      </w:pPr>
      <w:r>
        <w:lastRenderedPageBreak/>
        <w:t>Schaeffler Group – We pioneer motion</w:t>
      </w:r>
    </w:p>
    <w:p w14:paraId="002557B6" w14:textId="77777777" w:rsidR="004C4397" w:rsidRPr="006141A6" w:rsidRDefault="009445A9" w:rsidP="00C113C7">
      <w:pPr>
        <w:pStyle w:val="Hinweis"/>
        <w:rPr>
          <w:rFonts w:ascii="Calibri" w:hAnsi="Calibri" w:cs="Calibri"/>
          <w:szCs w:val="16"/>
        </w:rPr>
      </w:pPr>
      <w:bookmarkStart w:id="2" w:name="_Hlk31817536"/>
      <w:r>
        <w:rPr>
          <w:rFonts w:ascii="Calibri" w:hAnsi="Calibri"/>
        </w:rPr>
        <w:t>As a leading global supplier to the automotive and industrial sectors, the Schaeffler Group has been driving forward groundbreaking inventions and developments in the fields of motion and mobility for over 70 years.</w:t>
      </w:r>
      <w:r w:rsidR="00443EB9">
        <w:rPr>
          <w:rFonts w:ascii="Calibri" w:hAnsi="Calibri"/>
        </w:rPr>
        <w:t xml:space="preserve"> </w:t>
      </w:r>
      <w:r>
        <w:rPr>
          <w:rFonts w:ascii="Calibri" w:hAnsi="Calibri"/>
        </w:rPr>
        <w:t>With innovative technologies, products, and services for CO₂</w:t>
      </w:r>
      <w:r w:rsidR="00F7608B">
        <w:rPr>
          <w:rFonts w:ascii="Calibri" w:hAnsi="Calibri"/>
        </w:rPr>
        <w:t>-</w:t>
      </w:r>
      <w:r>
        <w:rPr>
          <w:rFonts w:ascii="Calibri" w:hAnsi="Calibri"/>
        </w:rPr>
        <w:t>efficient drives, electric mobility, Industry 4.0, digitalization, and renewable energies, the company is a reliable partner for making motion and mobility more efficient, intelligent, and sustainable.</w:t>
      </w:r>
      <w:r w:rsidR="00443EB9">
        <w:rPr>
          <w:rFonts w:ascii="Calibri" w:hAnsi="Calibri"/>
        </w:rPr>
        <w:t xml:space="preserve"> </w:t>
      </w:r>
      <w:r>
        <w:rPr>
          <w:rFonts w:ascii="Calibri" w:hAnsi="Calibri"/>
        </w:rPr>
        <w:t>The technology company manufactures high</w:t>
      </w:r>
      <w:r w:rsidR="00F7608B">
        <w:rPr>
          <w:rFonts w:ascii="Calibri" w:hAnsi="Calibri"/>
        </w:rPr>
        <w:t>-</w:t>
      </w:r>
      <w:r>
        <w:rPr>
          <w:rFonts w:ascii="Calibri" w:hAnsi="Calibri"/>
        </w:rPr>
        <w:t xml:space="preserve">precision components and systems for </w:t>
      </w:r>
      <w:r w:rsidR="005D6B8B">
        <w:rPr>
          <w:rFonts w:ascii="Calibri" w:hAnsi="Calibri"/>
        </w:rPr>
        <w:t>powertrain</w:t>
      </w:r>
      <w:r>
        <w:rPr>
          <w:rFonts w:ascii="Calibri" w:hAnsi="Calibri"/>
        </w:rPr>
        <w:t xml:space="preserve"> and chassis applications as well as rolling and plain bearing solutions for a large number of industrial applications.</w:t>
      </w:r>
      <w:r w:rsidR="00443EB9">
        <w:rPr>
          <w:rFonts w:ascii="Calibri" w:hAnsi="Calibri"/>
        </w:rPr>
        <w:t xml:space="preserve"> </w:t>
      </w:r>
      <w:r>
        <w:rPr>
          <w:rFonts w:ascii="Calibri" w:hAnsi="Calibri"/>
        </w:rPr>
        <w:t>The Schaeffler Group generated sales of approximately EUR 12.6 billion in 2020.</w:t>
      </w:r>
      <w:r w:rsidR="00443EB9">
        <w:rPr>
          <w:rFonts w:ascii="Calibri" w:hAnsi="Calibri"/>
        </w:rPr>
        <w:t xml:space="preserve"> </w:t>
      </w:r>
      <w:r>
        <w:rPr>
          <w:rFonts w:ascii="Calibri" w:hAnsi="Calibri"/>
        </w:rPr>
        <w:t>With around 83,300 employees, Schaeffler is one of the world’s largest family companies.</w:t>
      </w:r>
      <w:r w:rsidR="00443EB9">
        <w:rPr>
          <w:rFonts w:ascii="Calibri" w:hAnsi="Calibri"/>
        </w:rPr>
        <w:t xml:space="preserve"> </w:t>
      </w:r>
      <w:r>
        <w:rPr>
          <w:rFonts w:ascii="Calibri" w:hAnsi="Calibri"/>
        </w:rPr>
        <w:t>With almost 2,400 patent applications in 2019, Schaeffler is Germany’s second most innovative company according to the DPMA (German Patent and Trademark Office).</w:t>
      </w:r>
    </w:p>
    <w:bookmarkEnd w:id="2"/>
    <w:tbl>
      <w:tblPr>
        <w:tblStyle w:val="TableGrid"/>
        <w:tblW w:w="7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8"/>
      </w:tblGrid>
      <w:tr w:rsidR="00473579" w:rsidRPr="00C20EA4" w14:paraId="0033D100" w14:textId="77777777" w:rsidTr="00B92949">
        <w:trPr>
          <w:trHeight w:hRule="exact" w:val="275"/>
        </w:trPr>
        <w:tc>
          <w:tcPr>
            <w:tcW w:w="7358" w:type="dxa"/>
            <w:tcBorders>
              <w:bottom w:val="single" w:sz="2" w:space="0" w:color="646464"/>
            </w:tcBorders>
          </w:tcPr>
          <w:p w14:paraId="33A29B7D" w14:textId="77777777" w:rsidR="00473579" w:rsidRPr="00C20EA4" w:rsidRDefault="00473579" w:rsidP="00C113C7"/>
        </w:tc>
      </w:tr>
      <w:tr w:rsidR="00473579" w:rsidRPr="00C20EA4" w14:paraId="6775A621" w14:textId="77777777" w:rsidTr="00B92949">
        <w:trPr>
          <w:trHeight w:hRule="exact" w:val="275"/>
        </w:trPr>
        <w:tc>
          <w:tcPr>
            <w:tcW w:w="7358" w:type="dxa"/>
            <w:tcBorders>
              <w:top w:val="single" w:sz="2" w:space="0" w:color="646464"/>
            </w:tcBorders>
          </w:tcPr>
          <w:p w14:paraId="5EE58C8B" w14:textId="77777777" w:rsidR="00473579" w:rsidRPr="00C20EA4" w:rsidRDefault="00473579" w:rsidP="00C113C7"/>
          <w:p w14:paraId="274D9C65" w14:textId="77777777" w:rsidR="00473579" w:rsidRPr="00C20EA4" w:rsidRDefault="00473579" w:rsidP="00C113C7"/>
        </w:tc>
      </w:tr>
    </w:tbl>
    <w:p w14:paraId="27733F38" w14:textId="77777777" w:rsidR="004076E1" w:rsidRDefault="004076E1" w:rsidP="00C113C7">
      <w:pPr>
        <w:spacing w:before="0"/>
        <w:rPr>
          <w:rStyle w:val="Strong"/>
        </w:rPr>
      </w:pPr>
    </w:p>
    <w:p w14:paraId="0B4D0B28" w14:textId="77777777" w:rsidR="00A2130E" w:rsidRDefault="00A2130E" w:rsidP="00C113C7">
      <w:pPr>
        <w:spacing w:before="0"/>
        <w:rPr>
          <w:rStyle w:val="Strong"/>
        </w:rPr>
      </w:pPr>
      <w:r>
        <w:rPr>
          <w:rStyle w:val="Strong"/>
        </w:rPr>
        <w:t>Contacts</w:t>
      </w: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3686"/>
      </w:tblGrid>
      <w:tr w:rsidR="00977CAB" w14:paraId="4FA35B06" w14:textId="77777777" w:rsidTr="00E622E7">
        <w:tc>
          <w:tcPr>
            <w:tcW w:w="3969" w:type="dxa"/>
          </w:tcPr>
          <w:p w14:paraId="720529C6" w14:textId="77777777" w:rsidR="00E622E7" w:rsidRPr="00D34711" w:rsidRDefault="00E622E7" w:rsidP="00E622E7">
            <w:pPr>
              <w:autoSpaceDE w:val="0"/>
              <w:autoSpaceDN w:val="0"/>
              <w:adjustRightInd w:val="0"/>
              <w:rPr>
                <w:lang w:val="de-DE"/>
              </w:rPr>
            </w:pPr>
            <w:r w:rsidRPr="00D34711">
              <w:rPr>
                <w:rStyle w:val="Strong"/>
                <w:lang w:val="de-DE"/>
              </w:rPr>
              <w:t>Dr. Axel Lüdeke</w:t>
            </w:r>
            <w:r w:rsidRPr="00D34711">
              <w:rPr>
                <w:rStyle w:val="Strong"/>
                <w:lang w:val="de-DE"/>
              </w:rPr>
              <w:br/>
            </w:r>
            <w:r w:rsidRPr="00D34711">
              <w:rPr>
                <w:lang w:val="de-DE"/>
              </w:rPr>
              <w:t xml:space="preserve">Communications </w:t>
            </w:r>
            <w:r>
              <w:rPr>
                <w:lang w:val="de-DE"/>
              </w:rPr>
              <w:t>&amp; Public Affairs</w:t>
            </w:r>
            <w:r w:rsidRPr="00D34711">
              <w:rPr>
                <w:lang w:val="de-DE"/>
              </w:rPr>
              <w:br/>
              <w:t xml:space="preserve">Schaeffler AG </w:t>
            </w:r>
            <w:r>
              <w:rPr>
                <w:lang w:val="de-DE"/>
              </w:rPr>
              <w:br/>
            </w:r>
            <w:r w:rsidRPr="00D34711">
              <w:rPr>
                <w:lang w:val="de-DE"/>
              </w:rPr>
              <w:t>Herzogenaurach, Germany</w:t>
            </w:r>
          </w:p>
          <w:p w14:paraId="2F16B1EC" w14:textId="4B207AE1" w:rsidR="00977CAB" w:rsidRPr="00947EA3" w:rsidRDefault="00E622E7" w:rsidP="00E622E7">
            <w:pPr>
              <w:rPr>
                <w:rStyle w:val="Strong"/>
                <w:b w:val="0"/>
                <w:bCs w:val="0"/>
              </w:rPr>
            </w:pPr>
            <w:r>
              <w:rPr>
                <w:noProof/>
                <w:lang w:val="de-DE" w:eastAsia="de-DE"/>
              </w:rPr>
              <w:drawing>
                <wp:inline distT="0" distB="0" distL="0" distR="0" wp14:anchorId="3816DD95" wp14:editId="603F80C8">
                  <wp:extent cx="129600" cy="12960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hone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600" cy="129600"/>
                          </a:xfrm>
                          <a:prstGeom prst="rect">
                            <a:avLst/>
                          </a:prstGeom>
                        </pic:spPr>
                      </pic:pic>
                    </a:graphicData>
                  </a:graphic>
                </wp:inline>
              </w:drawing>
            </w:r>
            <w:r w:rsidRPr="00D34711">
              <w:rPr>
                <w:lang w:val="de-DE"/>
              </w:rPr>
              <w:t xml:space="preserve">  +49 9132 82 8901</w:t>
            </w:r>
            <w:r w:rsidRPr="00D34711">
              <w:rPr>
                <w:sz w:val="20"/>
                <w:lang w:val="de-DE"/>
              </w:rPr>
              <w:br/>
            </w:r>
            <w:r>
              <w:rPr>
                <w:noProof/>
                <w:lang w:val="de-DE" w:eastAsia="de-DE"/>
              </w:rPr>
              <w:drawing>
                <wp:inline distT="0" distB="0" distL="0" distR="0" wp14:anchorId="7F3C68D2" wp14:editId="4B8E3D45">
                  <wp:extent cx="136800" cy="93600"/>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ail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800" cy="93600"/>
                          </a:xfrm>
                          <a:prstGeom prst="rect">
                            <a:avLst/>
                          </a:prstGeom>
                        </pic:spPr>
                      </pic:pic>
                    </a:graphicData>
                  </a:graphic>
                </wp:inline>
              </w:drawing>
            </w:r>
            <w:r w:rsidRPr="00D34711">
              <w:rPr>
                <w:sz w:val="20"/>
                <w:lang w:val="de-DE"/>
              </w:rPr>
              <w:t xml:space="preserve">  </w:t>
            </w:r>
            <w:hyperlink r:id="rId15" w:history="1">
              <w:r w:rsidRPr="00D34711">
                <w:rPr>
                  <w:rStyle w:val="Hyperlink"/>
                  <w:lang w:val="de-DE"/>
                </w:rPr>
                <w:t>axel.luedeke@schaeffler.com</w:t>
              </w:r>
            </w:hyperlink>
            <w:r w:rsidR="00977CAB">
              <w:rPr>
                <w:color w:val="00893D" w:themeColor="background2"/>
              </w:rPr>
              <w:br/>
            </w:r>
          </w:p>
        </w:tc>
        <w:tc>
          <w:tcPr>
            <w:tcW w:w="3686" w:type="dxa"/>
          </w:tcPr>
          <w:p w14:paraId="14B47DE8" w14:textId="4CC9E4ED" w:rsidR="00977CAB" w:rsidRPr="00D764A7" w:rsidRDefault="00977CAB" w:rsidP="00C113C7">
            <w:pPr>
              <w:autoSpaceDE w:val="0"/>
              <w:autoSpaceDN w:val="0"/>
              <w:adjustRightInd w:val="0"/>
            </w:pPr>
            <w:r>
              <w:rPr>
                <w:rStyle w:val="Strong"/>
              </w:rPr>
              <w:t>Renata Casaro</w:t>
            </w:r>
            <w:r>
              <w:rPr>
                <w:rStyle w:val="Strong"/>
                <w:sz w:val="20"/>
              </w:rPr>
              <w:br/>
            </w:r>
            <w:r>
              <w:t>Head of Investor Relations</w:t>
            </w:r>
            <w:r>
              <w:br/>
              <w:t>Schaeffler AG, Herzogenaurach, Germany</w:t>
            </w:r>
          </w:p>
          <w:p w14:paraId="6B4EF895" w14:textId="77777777" w:rsidR="00977CAB" w:rsidRPr="00871B32" w:rsidRDefault="00977CAB" w:rsidP="00C113C7">
            <w:pPr>
              <w:rPr>
                <w:rStyle w:val="Strong"/>
                <w:sz w:val="20"/>
                <w:szCs w:val="20"/>
              </w:rPr>
            </w:pPr>
            <w:r>
              <w:rPr>
                <w:noProof/>
                <w:lang w:val="de-DE" w:eastAsia="de-DE"/>
              </w:rPr>
              <w:drawing>
                <wp:inline distT="0" distB="0" distL="0" distR="0" wp14:anchorId="47764994" wp14:editId="1FF1A09D">
                  <wp:extent cx="129600" cy="129600"/>
                  <wp:effectExtent l="0" t="0" r="381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hone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600" cy="129600"/>
                          </a:xfrm>
                          <a:prstGeom prst="rect">
                            <a:avLst/>
                          </a:prstGeom>
                        </pic:spPr>
                      </pic:pic>
                    </a:graphicData>
                  </a:graphic>
                </wp:inline>
              </w:drawing>
            </w:r>
            <w:r>
              <w:t xml:space="preserve">  +49 9132 82 4440</w:t>
            </w:r>
            <w:r>
              <w:rPr>
                <w:noProof/>
                <w:sz w:val="20"/>
                <w:lang w:val="de-DE" w:eastAsia="de-DE"/>
              </w:rPr>
              <mc:AlternateContent>
                <mc:Choice Requires="wps">
                  <w:drawing>
                    <wp:anchor distT="0" distB="0" distL="114300" distR="114300" simplePos="0" relativeHeight="251657216" behindDoc="0" locked="1" layoutInCell="1" allowOverlap="1" wp14:anchorId="13AB6574" wp14:editId="315FD262">
                      <wp:simplePos x="0" y="0"/>
                      <wp:positionH relativeFrom="page">
                        <wp:posOffset>5544820</wp:posOffset>
                      </wp:positionH>
                      <wp:positionV relativeFrom="page">
                        <wp:posOffset>1151890</wp:posOffset>
                      </wp:positionV>
                      <wp:extent cx="1440000" cy="162000"/>
                      <wp:effectExtent l="0" t="0" r="8255" b="9525"/>
                      <wp:wrapNone/>
                      <wp:docPr id="32" name="Rechteck 32"/>
                      <wp:cNvGraphicFramePr/>
                      <a:graphic xmlns:a="http://schemas.openxmlformats.org/drawingml/2006/main">
                        <a:graphicData uri="http://schemas.microsoft.com/office/word/2010/wordprocessingShape">
                          <wps:wsp>
                            <wps:cNvSpPr/>
                            <wps:spPr>
                              <a:xfrm>
                                <a:off x="0" y="0"/>
                                <a:ext cx="1440000" cy="162000"/>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0B72070B" w14:textId="77777777" w:rsidR="00977CAB" w:rsidRPr="00E622E7" w:rsidRDefault="00977CAB" w:rsidP="00977CAB">
                                  <w:pPr>
                                    <w:pStyle w:val="BU"/>
                                    <w:rPr>
                                      <w:sz w:val="14"/>
                                      <w:lang w:val="de-DE"/>
                                    </w:rPr>
                                  </w:pPr>
                                  <w:r w:rsidRPr="00E622E7">
                                    <w:rPr>
                                      <w:highlight w:val="yellow"/>
                                      <w:lang w:val="de-DE"/>
                                    </w:rPr>
                                    <w:t>Platzhalter Fremdlogo max. 4,5 mm hoch</w:t>
                                  </w:r>
                                </w:p>
                                <w:p w14:paraId="3084D93C" w14:textId="77777777" w:rsidR="00977CAB" w:rsidRPr="00E622E7" w:rsidRDefault="00977CAB" w:rsidP="00977CAB">
                                  <w:pPr>
                                    <w:rPr>
                                      <w:lang w:val="de-DE"/>
                                    </w:rPr>
                                  </w:pPr>
                                </w:p>
                              </w:txbxContent>
                            </wps:txbx>
                            <wps:bodyPr rot="0" spcFirstLastPara="0" vertOverflow="overflow" horzOverflow="overflow" vert="horz" wrap="square" lIns="72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B6574" id="Rechteck 32" o:spid="_x0000_s1026" style="position:absolute;margin-left:436.6pt;margin-top:90.7pt;width:113.4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" fillcolor="#e3e3e3 [3208]" stroked="f" strokeweight="2pt">
                      <v:textbox inset="2mm,1mm,1mm,0">
                        <w:txbxContent>
                          <w:p w14:paraId="0B72070B" w14:textId="77777777" w:rsidR="00977CAB" w:rsidRPr="00E622E7" w:rsidRDefault="00977CAB" w:rsidP="00977CAB">
                            <w:pPr>
                              <w:pStyle w:val="BU"/>
                              <w:rPr>
                                <w:sz w:val="14"/>
                                <w:lang w:val="de-DE"/>
                              </w:rPr>
                            </w:pPr>
                            <w:r w:rsidRPr="00E622E7">
                              <w:rPr>
                                <w:highlight w:val="yellow"/>
                                <w:lang w:val="de-DE"/>
                              </w:rPr>
                              <w:t>Platzhalter Fremdlogo max. 4,5 mm hoch</w:t>
                            </w:r>
                          </w:p>
                          <w:p w14:paraId="3084D93C" w14:textId="77777777" w:rsidR="00977CAB" w:rsidRPr="00E622E7" w:rsidRDefault="00977CAB" w:rsidP="00977CAB">
                            <w:pPr>
                              <w:rPr>
                                <w:lang w:val="de-DE"/>
                              </w:rPr>
                            </w:pPr>
                          </w:p>
                        </w:txbxContent>
                      </v:textbox>
                      <w10:wrap anchorx="page" anchory="page"/>
                      <w10:anchorlock/>
                    </v:rect>
                  </w:pict>
                </mc:Fallback>
              </mc:AlternateContent>
            </w:r>
            <w:r>
              <w:rPr>
                <w:sz w:val="20"/>
              </w:rPr>
              <w:br/>
            </w:r>
            <w:r>
              <w:rPr>
                <w:noProof/>
                <w:lang w:val="de-DE" w:eastAsia="de-DE"/>
              </w:rPr>
              <w:drawing>
                <wp:inline distT="0" distB="0" distL="0" distR="0" wp14:anchorId="4416B8C4" wp14:editId="36BB15C3">
                  <wp:extent cx="136800" cy="93600"/>
                  <wp:effectExtent l="0" t="0" r="0"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ail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800" cy="93600"/>
                          </a:xfrm>
                          <a:prstGeom prst="rect">
                            <a:avLst/>
                          </a:prstGeom>
                        </pic:spPr>
                      </pic:pic>
                    </a:graphicData>
                  </a:graphic>
                </wp:inline>
              </w:drawing>
            </w:r>
            <w:r>
              <w:rPr>
                <w:sz w:val="20"/>
              </w:rPr>
              <w:t xml:space="preserve">  </w:t>
            </w:r>
            <w:hyperlink r:id="rId16" w:history="1">
              <w:r>
                <w:rPr>
                  <w:rStyle w:val="Hyperlink"/>
                </w:rPr>
                <w:t>ir@schaeffler.com</w:t>
              </w:r>
            </w:hyperlink>
            <w:r>
              <w:rPr>
                <w:color w:val="00893D" w:themeColor="background2"/>
                <w:sz w:val="20"/>
              </w:rPr>
              <w:br/>
            </w:r>
          </w:p>
        </w:tc>
      </w:tr>
      <w:tr w:rsidR="00977CAB" w14:paraId="7DB82C2D" w14:textId="77777777" w:rsidTr="00E622E7">
        <w:tc>
          <w:tcPr>
            <w:tcW w:w="3969" w:type="dxa"/>
          </w:tcPr>
          <w:p w14:paraId="345AA951" w14:textId="77777777" w:rsidR="00E622E7" w:rsidRPr="00977CAB" w:rsidRDefault="00E622E7" w:rsidP="00E622E7">
            <w:pPr>
              <w:autoSpaceDE w:val="0"/>
              <w:autoSpaceDN w:val="0"/>
              <w:adjustRightInd w:val="0"/>
            </w:pPr>
            <w:r>
              <w:rPr>
                <w:rStyle w:val="Strong"/>
              </w:rPr>
              <w:t>Bettina Lichtenberg</w:t>
            </w:r>
            <w:r>
              <w:rPr>
                <w:rStyle w:val="Strong"/>
              </w:rPr>
              <w:br/>
            </w:r>
            <w:r w:rsidRPr="000B72BF">
              <w:t>Vice President Corporate Communications</w:t>
            </w:r>
            <w:r>
              <w:br/>
              <w:t>Schaeffler AG</w:t>
            </w:r>
            <w:r>
              <w:br/>
              <w:t>Herzogenaurach, Germany</w:t>
            </w:r>
          </w:p>
          <w:p w14:paraId="7F00CFDE" w14:textId="1529E70A" w:rsidR="00977CAB" w:rsidRPr="00947EA3" w:rsidRDefault="00E622E7" w:rsidP="00E622E7">
            <w:pPr>
              <w:rPr>
                <w:rStyle w:val="Strong"/>
                <w:b w:val="0"/>
                <w:bCs w:val="0"/>
              </w:rPr>
            </w:pPr>
            <w:r>
              <w:rPr>
                <w:noProof/>
                <w:sz w:val="20"/>
                <w:lang w:val="de-DE" w:eastAsia="de-DE"/>
              </w:rPr>
              <w:drawing>
                <wp:inline distT="0" distB="0" distL="0" distR="0" wp14:anchorId="45EF6771" wp14:editId="0C602AAD">
                  <wp:extent cx="129600" cy="12960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hone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600" cy="129600"/>
                          </a:xfrm>
                          <a:prstGeom prst="rect">
                            <a:avLst/>
                          </a:prstGeom>
                        </pic:spPr>
                      </pic:pic>
                    </a:graphicData>
                  </a:graphic>
                </wp:inline>
              </w:drawing>
            </w:r>
            <w:r>
              <w:rPr>
                <w:sz w:val="20"/>
              </w:rPr>
              <w:t xml:space="preserve">  </w:t>
            </w:r>
            <w:r>
              <w:t>+49 9132 82 5000</w:t>
            </w:r>
            <w:r>
              <w:br/>
            </w:r>
            <w:r>
              <w:rPr>
                <w:noProof/>
                <w:lang w:val="de-DE" w:eastAsia="de-DE"/>
              </w:rPr>
              <w:drawing>
                <wp:inline distT="0" distB="0" distL="0" distR="0" wp14:anchorId="6051F368" wp14:editId="42F3BE57">
                  <wp:extent cx="136800" cy="93600"/>
                  <wp:effectExtent l="0" t="0" r="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ail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800" cy="93600"/>
                          </a:xfrm>
                          <a:prstGeom prst="rect">
                            <a:avLst/>
                          </a:prstGeom>
                        </pic:spPr>
                      </pic:pic>
                    </a:graphicData>
                  </a:graphic>
                </wp:inline>
              </w:drawing>
            </w:r>
            <w:r>
              <w:t xml:space="preserve">  </w:t>
            </w:r>
            <w:hyperlink r:id="rId17" w:history="1">
              <w:r w:rsidRPr="007071DE">
                <w:rPr>
                  <w:rStyle w:val="Hyperlink"/>
                </w:rPr>
                <w:t>presse@schaeffler.com</w:t>
              </w:r>
            </w:hyperlink>
            <w:r w:rsidR="00977CAB">
              <w:rPr>
                <w:sz w:val="20"/>
              </w:rPr>
              <w:br/>
            </w:r>
          </w:p>
        </w:tc>
        <w:tc>
          <w:tcPr>
            <w:tcW w:w="3686" w:type="dxa"/>
          </w:tcPr>
          <w:p w14:paraId="5D33626B" w14:textId="77777777" w:rsidR="00977CAB" w:rsidRPr="00C94A6D" w:rsidRDefault="00977CAB" w:rsidP="00C113C7">
            <w:pPr>
              <w:autoSpaceDE w:val="0"/>
              <w:autoSpaceDN w:val="0"/>
              <w:adjustRightInd w:val="0"/>
              <w:rPr>
                <w:b/>
                <w:bCs/>
                <w:lang w:val="de-DE"/>
              </w:rPr>
            </w:pPr>
            <w:r w:rsidRPr="00C94A6D">
              <w:rPr>
                <w:rStyle w:val="Strong"/>
                <w:lang w:val="de-DE"/>
              </w:rPr>
              <w:t>Johann Eisenmann</w:t>
            </w:r>
            <w:r w:rsidRPr="00C94A6D">
              <w:rPr>
                <w:rStyle w:val="Strong"/>
                <w:sz w:val="20"/>
                <w:lang w:val="de-DE"/>
              </w:rPr>
              <w:br/>
            </w:r>
            <w:r w:rsidRPr="00C94A6D">
              <w:rPr>
                <w:lang w:val="de-DE"/>
              </w:rPr>
              <w:t>Investor Relations</w:t>
            </w:r>
            <w:r w:rsidRPr="00C94A6D">
              <w:rPr>
                <w:lang w:val="de-DE"/>
              </w:rPr>
              <w:br/>
              <w:t>Schaeffler AG, Herzogenaurach, Germany</w:t>
            </w:r>
          </w:p>
          <w:p w14:paraId="17539CEF" w14:textId="77777777" w:rsidR="00977CAB" w:rsidRDefault="00977CAB" w:rsidP="00C113C7">
            <w:pPr>
              <w:autoSpaceDE w:val="0"/>
              <w:autoSpaceDN w:val="0"/>
              <w:adjustRightInd w:val="0"/>
              <w:rPr>
                <w:rStyle w:val="Strong"/>
              </w:rPr>
            </w:pPr>
            <w:r>
              <w:rPr>
                <w:noProof/>
                <w:sz w:val="20"/>
                <w:lang w:val="de-DE" w:eastAsia="de-DE"/>
              </w:rPr>
              <w:drawing>
                <wp:inline distT="0" distB="0" distL="0" distR="0" wp14:anchorId="1AB6273E" wp14:editId="590C35D0">
                  <wp:extent cx="129600" cy="129600"/>
                  <wp:effectExtent l="0" t="0" r="381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hone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600" cy="129600"/>
                          </a:xfrm>
                          <a:prstGeom prst="rect">
                            <a:avLst/>
                          </a:prstGeom>
                        </pic:spPr>
                      </pic:pic>
                    </a:graphicData>
                  </a:graphic>
                </wp:inline>
              </w:drawing>
            </w:r>
            <w:r>
              <w:rPr>
                <w:sz w:val="20"/>
              </w:rPr>
              <w:t xml:space="preserve">  </w:t>
            </w:r>
            <w:r>
              <w:t>+49 9132 82 4440</w:t>
            </w:r>
            <w:r>
              <w:rPr>
                <w:noProof/>
                <w:lang w:val="de-DE" w:eastAsia="de-DE"/>
              </w:rPr>
              <mc:AlternateContent>
                <mc:Choice Requires="wps">
                  <w:drawing>
                    <wp:anchor distT="0" distB="0" distL="114300" distR="114300" simplePos="0" relativeHeight="251659264" behindDoc="0" locked="1" layoutInCell="1" allowOverlap="1" wp14:anchorId="4479408F" wp14:editId="7AAE792D">
                      <wp:simplePos x="0" y="0"/>
                      <wp:positionH relativeFrom="page">
                        <wp:posOffset>5544820</wp:posOffset>
                      </wp:positionH>
                      <wp:positionV relativeFrom="page">
                        <wp:posOffset>1151890</wp:posOffset>
                      </wp:positionV>
                      <wp:extent cx="1440000" cy="162000"/>
                      <wp:effectExtent l="0" t="0" r="8255" b="9525"/>
                      <wp:wrapNone/>
                      <wp:docPr id="33" name="Rechteck 33"/>
                      <wp:cNvGraphicFramePr/>
                      <a:graphic xmlns:a="http://schemas.openxmlformats.org/drawingml/2006/main">
                        <a:graphicData uri="http://schemas.microsoft.com/office/word/2010/wordprocessingShape">
                          <wps:wsp>
                            <wps:cNvSpPr/>
                            <wps:spPr>
                              <a:xfrm>
                                <a:off x="0" y="0"/>
                                <a:ext cx="1440000" cy="162000"/>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40DE3947" w14:textId="77777777" w:rsidR="00977CAB" w:rsidRPr="00E622E7" w:rsidRDefault="00977CAB" w:rsidP="00977CAB">
                                  <w:pPr>
                                    <w:pStyle w:val="BU"/>
                                    <w:rPr>
                                      <w:sz w:val="14"/>
                                      <w:lang w:val="de-DE"/>
                                    </w:rPr>
                                  </w:pPr>
                                  <w:r w:rsidRPr="00E622E7">
                                    <w:rPr>
                                      <w:highlight w:val="yellow"/>
                                      <w:lang w:val="de-DE"/>
                                    </w:rPr>
                                    <w:t>Platzhalter Fremdlogo max. 4,5 mm hoch</w:t>
                                  </w:r>
                                </w:p>
                                <w:p w14:paraId="28483BA0" w14:textId="77777777" w:rsidR="00977CAB" w:rsidRPr="00E622E7" w:rsidRDefault="00977CAB" w:rsidP="00977CAB">
                                  <w:pPr>
                                    <w:rPr>
                                      <w:lang w:val="de-DE"/>
                                    </w:rPr>
                                  </w:pPr>
                                </w:p>
                              </w:txbxContent>
                            </wps:txbx>
                            <wps:bodyPr rot="0" spcFirstLastPara="0" vertOverflow="overflow" horzOverflow="overflow" vert="horz" wrap="square" lIns="72000" tIns="3600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9408F" id="Rechteck 33" o:spid="_x0000_s1027" style="position:absolute;margin-left:436.6pt;margin-top:90.7pt;width:113.4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" fillcolor="#e3e3e3 [3208]" stroked="f" strokeweight="2pt">
                      <v:textbox inset="2mm,1mm,1mm,0">
                        <w:txbxContent>
                          <w:p w14:paraId="40DE3947" w14:textId="77777777" w:rsidR="00977CAB" w:rsidRPr="00E622E7" w:rsidRDefault="00977CAB" w:rsidP="00977CAB">
                            <w:pPr>
                              <w:pStyle w:val="BU"/>
                              <w:rPr>
                                <w:sz w:val="14"/>
                                <w:lang w:val="de-DE"/>
                              </w:rPr>
                            </w:pPr>
                            <w:r w:rsidRPr="00E622E7">
                              <w:rPr>
                                <w:highlight w:val="yellow"/>
                                <w:lang w:val="de-DE"/>
                              </w:rPr>
                              <w:t>Platzhalter Fremdlogo max. 4,5 mm hoch</w:t>
                            </w:r>
                          </w:p>
                          <w:p w14:paraId="28483BA0" w14:textId="77777777" w:rsidR="00977CAB" w:rsidRPr="00E622E7" w:rsidRDefault="00977CAB" w:rsidP="00977CAB">
                            <w:pPr>
                              <w:rPr>
                                <w:lang w:val="de-DE"/>
                              </w:rPr>
                            </w:pPr>
                          </w:p>
                        </w:txbxContent>
                      </v:textbox>
                      <w10:wrap anchorx="page" anchory="page"/>
                      <w10:anchorlock/>
                    </v:rect>
                  </w:pict>
                </mc:Fallback>
              </mc:AlternateContent>
            </w:r>
            <w:r>
              <w:br/>
            </w:r>
            <w:r>
              <w:rPr>
                <w:noProof/>
                <w:lang w:val="de-DE" w:eastAsia="de-DE"/>
              </w:rPr>
              <w:drawing>
                <wp:inline distT="0" distB="0" distL="0" distR="0" wp14:anchorId="126B9B47" wp14:editId="4530A3DF">
                  <wp:extent cx="136800" cy="93600"/>
                  <wp:effectExtent l="0" t="0" r="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ail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800" cy="93600"/>
                          </a:xfrm>
                          <a:prstGeom prst="rect">
                            <a:avLst/>
                          </a:prstGeom>
                        </pic:spPr>
                      </pic:pic>
                    </a:graphicData>
                  </a:graphic>
                </wp:inline>
              </w:drawing>
            </w:r>
            <w:r>
              <w:t xml:space="preserve">  </w:t>
            </w:r>
            <w:hyperlink r:id="rId18" w:history="1">
              <w:r>
                <w:rPr>
                  <w:rStyle w:val="Hyperlink"/>
                </w:rPr>
                <w:t>ir@schaeffler.com</w:t>
              </w:r>
            </w:hyperlink>
            <w:r>
              <w:rPr>
                <w:color w:val="00893D" w:themeColor="background2"/>
              </w:rPr>
              <w:br/>
            </w:r>
          </w:p>
        </w:tc>
      </w:tr>
      <w:tr w:rsidR="00977CAB" w14:paraId="606D926B" w14:textId="77777777" w:rsidTr="006847F5">
        <w:tblPrEx>
          <w:tblCellMar>
            <w:left w:w="108" w:type="dxa"/>
            <w:right w:w="108" w:type="dxa"/>
          </w:tblCellMar>
        </w:tblPrEx>
        <w:trPr>
          <w:trHeight w:hRule="exact" w:val="340"/>
        </w:trPr>
        <w:tc>
          <w:tcPr>
            <w:tcW w:w="7655" w:type="dxa"/>
            <w:gridSpan w:val="2"/>
            <w:tcBorders>
              <w:bottom w:val="single" w:sz="2" w:space="0" w:color="646464"/>
            </w:tcBorders>
          </w:tcPr>
          <w:p w14:paraId="1D83B2C3" w14:textId="77777777" w:rsidR="00977CAB" w:rsidRDefault="00977CAB" w:rsidP="00C113C7">
            <w:pPr>
              <w:spacing w:before="0" w:after="200"/>
            </w:pPr>
          </w:p>
        </w:tc>
      </w:tr>
      <w:tr w:rsidR="00977CAB" w14:paraId="5B0328A3" w14:textId="77777777" w:rsidTr="006847F5">
        <w:tblPrEx>
          <w:tblCellMar>
            <w:left w:w="108" w:type="dxa"/>
            <w:right w:w="108" w:type="dxa"/>
          </w:tblCellMar>
        </w:tblPrEx>
        <w:trPr>
          <w:trHeight w:hRule="exact" w:val="340"/>
        </w:trPr>
        <w:tc>
          <w:tcPr>
            <w:tcW w:w="7655" w:type="dxa"/>
            <w:gridSpan w:val="2"/>
            <w:tcBorders>
              <w:top w:val="single" w:sz="2" w:space="0" w:color="646464"/>
            </w:tcBorders>
          </w:tcPr>
          <w:p w14:paraId="6696F9D2" w14:textId="77777777" w:rsidR="00977CAB" w:rsidRDefault="00977CAB" w:rsidP="00C113C7"/>
          <w:p w14:paraId="48FADD28" w14:textId="77777777" w:rsidR="00977CAB" w:rsidRDefault="00977CAB" w:rsidP="00C113C7"/>
        </w:tc>
      </w:tr>
    </w:tbl>
    <w:p w14:paraId="233ADEA4" w14:textId="77777777" w:rsidR="00473579" w:rsidRDefault="00A2130E" w:rsidP="00C113C7">
      <w:pPr>
        <w:spacing w:line="240" w:lineRule="auto"/>
        <w:rPr>
          <w:noProof/>
        </w:rPr>
      </w:pPr>
      <w:r>
        <w:rPr>
          <w:noProof/>
          <w:lang w:val="de-DE" w:eastAsia="de-DE"/>
        </w:rPr>
        <w:drawing>
          <wp:inline distT="0" distB="0" distL="0" distR="0" wp14:anchorId="760B7AE0" wp14:editId="3175CD8D">
            <wp:extent cx="246960" cy="252000"/>
            <wp:effectExtent l="0" t="0" r="1270" b="0"/>
            <wp:docPr id="25" name="Grafik 2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9"/>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46960" cy="252000"/>
                    </a:xfrm>
                    <a:prstGeom prst="rect">
                      <a:avLst/>
                    </a:prstGeom>
                  </pic:spPr>
                </pic:pic>
              </a:graphicData>
            </a:graphic>
          </wp:inline>
        </w:drawing>
      </w:r>
      <w:r>
        <w:t xml:space="preserve">    </w:t>
      </w:r>
      <w:r>
        <w:rPr>
          <w:rFonts w:ascii="Calibri" w:hAnsi="Calibri"/>
          <w:noProof/>
          <w:lang w:val="de-DE" w:eastAsia="de-DE"/>
        </w:rPr>
        <w:drawing>
          <wp:inline distT="0" distB="0" distL="0" distR="0" wp14:anchorId="0F5B5C8A" wp14:editId="3EF9C418">
            <wp:extent cx="252000" cy="252000"/>
            <wp:effectExtent l="0" t="0" r="0" b="0"/>
            <wp:docPr id="26" name="Grafik 2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bwMode="auto">
                    <a:xfrm>
                      <a:off x="0" y="0"/>
                      <a:ext cx="252000" cy="252000"/>
                    </a:xfrm>
                    <a:prstGeom prst="rect">
                      <a:avLst/>
                    </a:prstGeom>
                  </pic:spPr>
                </pic:pic>
              </a:graphicData>
            </a:graphic>
          </wp:inline>
        </w:drawing>
      </w:r>
      <w:r>
        <w:rPr>
          <w:rFonts w:ascii="Calibri" w:hAnsi="Calibri"/>
        </w:rPr>
        <w:t xml:space="preserve">    </w:t>
      </w:r>
      <w:r>
        <w:rPr>
          <w:noProof/>
          <w:lang w:val="de-DE" w:eastAsia="de-DE"/>
        </w:rPr>
        <w:drawing>
          <wp:inline distT="0" distB="0" distL="0" distR="0" wp14:anchorId="0EE49BC5" wp14:editId="7338A03E">
            <wp:extent cx="252000" cy="252000"/>
            <wp:effectExtent l="0" t="0" r="0" b="0"/>
            <wp:docPr id="28" name="Grafik 2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bwMode="auto">
                    <a:xfrm>
                      <a:off x="0" y="0"/>
                      <a:ext cx="252000" cy="252000"/>
                    </a:xfrm>
                    <a:prstGeom prst="rect">
                      <a:avLst/>
                    </a:prstGeom>
                  </pic:spPr>
                </pic:pic>
              </a:graphicData>
            </a:graphic>
          </wp:inline>
        </w:drawing>
      </w:r>
      <w:r>
        <w:rPr>
          <w:rFonts w:ascii="Calibri" w:hAnsi="Calibri"/>
        </w:rPr>
        <w:t xml:space="preserve">    </w:t>
      </w:r>
      <w:r>
        <w:rPr>
          <w:noProof/>
          <w:lang w:val="de-DE" w:eastAsia="de-DE"/>
        </w:rPr>
        <w:drawing>
          <wp:inline distT="0" distB="0" distL="0" distR="0" wp14:anchorId="5E6855E5" wp14:editId="63B41745">
            <wp:extent cx="252000" cy="252000"/>
            <wp:effectExtent l="0" t="0" r="0" b="0"/>
            <wp:docPr id="29" name="Grafik 2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bwMode="auto">
                    <a:xfrm>
                      <a:off x="0" y="0"/>
                      <a:ext cx="252000" cy="252000"/>
                    </a:xfrm>
                    <a:prstGeom prst="rect">
                      <a:avLst/>
                    </a:prstGeom>
                  </pic:spPr>
                </pic:pic>
              </a:graphicData>
            </a:graphic>
          </wp:inline>
        </w:drawing>
      </w:r>
      <w:r>
        <w:rPr>
          <w:rFonts w:ascii="Calibri" w:hAnsi="Calibri"/>
        </w:rPr>
        <w:t xml:space="preserve">    </w:t>
      </w:r>
      <w:r>
        <w:rPr>
          <w:noProof/>
          <w:lang w:val="de-DE" w:eastAsia="de-DE"/>
        </w:rPr>
        <w:drawing>
          <wp:inline distT="0" distB="0" distL="0" distR="0" wp14:anchorId="0EED8D2F" wp14:editId="4A4DF2C1">
            <wp:extent cx="257039" cy="252000"/>
            <wp:effectExtent l="0" t="0" r="0" b="0"/>
            <wp:docPr id="30" name="Grafik 3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bwMode="auto">
                    <a:xfrm>
                      <a:off x="0" y="0"/>
                      <a:ext cx="257039" cy="252000"/>
                    </a:xfrm>
                    <a:prstGeom prst="rect">
                      <a:avLst/>
                    </a:prstGeom>
                  </pic:spPr>
                </pic:pic>
              </a:graphicData>
            </a:graphic>
          </wp:inline>
        </w:drawing>
      </w:r>
      <w:r>
        <w:rPr>
          <w:rFonts w:ascii="Calibri" w:hAnsi="Calibri"/>
        </w:rPr>
        <w:t xml:space="preserve">    </w:t>
      </w:r>
      <w:r>
        <w:rPr>
          <w:noProof/>
          <w:lang w:val="de-DE" w:eastAsia="de-DE"/>
        </w:rPr>
        <w:drawing>
          <wp:inline distT="0" distB="0" distL="0" distR="0" wp14:anchorId="2B66B62C" wp14:editId="1E678A95">
            <wp:extent cx="231840" cy="252000"/>
            <wp:effectExtent l="0" t="0" r="0" b="0"/>
            <wp:docPr id="31" name="Grafik 3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231840" cy="252000"/>
                    </a:xfrm>
                    <a:prstGeom prst="rect">
                      <a:avLst/>
                    </a:prstGeom>
                  </pic:spPr>
                </pic:pic>
              </a:graphicData>
            </a:graphic>
          </wp:inline>
        </w:drawing>
      </w:r>
      <w:r>
        <w:rPr>
          <w:rFonts w:ascii="Calibri" w:hAnsi="Calibri"/>
        </w:rPr>
        <w:t xml:space="preserve">    </w:t>
      </w:r>
      <w:r>
        <w:rPr>
          <w:noProof/>
          <w:lang w:val="de-DE" w:eastAsia="de-DE"/>
        </w:rPr>
        <w:drawing>
          <wp:inline distT="0" distB="0" distL="0" distR="0" wp14:anchorId="053C2C62" wp14:editId="707F4C31">
            <wp:extent cx="231840" cy="252000"/>
            <wp:effectExtent l="0" t="0" r="0" b="0"/>
            <wp:docPr id="34" name="Grafik 3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231840" cy="252000"/>
                    </a:xfrm>
                    <a:prstGeom prst="rect">
                      <a:avLst/>
                    </a:prstGeom>
                  </pic:spPr>
                </pic:pic>
              </a:graphicData>
            </a:graphic>
          </wp:inline>
        </w:drawing>
      </w:r>
    </w:p>
    <w:sectPr w:rsidR="00473579" w:rsidSect="0033108C">
      <w:headerReference w:type="default" r:id="rId40"/>
      <w:footerReference w:type="default" r:id="rId41"/>
      <w:headerReference w:type="first" r:id="rId42"/>
      <w:footerReference w:type="first" r:id="rId43"/>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E4EC2" w14:textId="77777777" w:rsidR="00983920" w:rsidRDefault="00983920" w:rsidP="00DF6567">
      <w:pPr>
        <w:spacing w:line="240" w:lineRule="auto"/>
      </w:pPr>
      <w:r>
        <w:separator/>
      </w:r>
    </w:p>
  </w:endnote>
  <w:endnote w:type="continuationSeparator" w:id="0">
    <w:p w14:paraId="06CCD866" w14:textId="77777777" w:rsidR="00983920" w:rsidRDefault="00983920"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3C28E256" w14:textId="77777777" w:rsidR="006A5C61" w:rsidRDefault="006A5C61" w:rsidP="000A262F">
        <w:pPr>
          <w:pStyle w:val="BU"/>
        </w:pPr>
        <w:r w:rsidRPr="00AB5AB6">
          <w:fldChar w:fldCharType="begin"/>
        </w:r>
        <w:r w:rsidRPr="00AB5AB6">
          <w:instrText>PAGE   \* MERGEFORMAT</w:instrText>
        </w:r>
        <w:r w:rsidRPr="00AB5AB6">
          <w:fldChar w:fldCharType="separate"/>
        </w:r>
        <w:r w:rsidR="00063033">
          <w:t>5</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386658A2" w14:textId="77777777" w:rsidR="00026162" w:rsidRDefault="00026162" w:rsidP="000A262F">
        <w:pPr>
          <w:pStyle w:val="BU"/>
        </w:pPr>
        <w:r>
          <w:fldChar w:fldCharType="begin"/>
        </w:r>
        <w:r>
          <w:instrText>PAGE   \* MERGEFORMAT</w:instrText>
        </w:r>
        <w:r>
          <w:fldChar w:fldCharType="separate"/>
        </w:r>
        <w:r w:rsidR="00063033">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E03F0" w14:textId="77777777" w:rsidR="00983920" w:rsidRDefault="00983920" w:rsidP="00DF6567">
      <w:pPr>
        <w:spacing w:line="240" w:lineRule="auto"/>
      </w:pPr>
      <w:r>
        <w:separator/>
      </w:r>
    </w:p>
  </w:footnote>
  <w:footnote w:type="continuationSeparator" w:id="0">
    <w:p w14:paraId="6D786FD7" w14:textId="77777777" w:rsidR="00983920" w:rsidRDefault="00983920"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0B197" w14:textId="77777777" w:rsidR="00DF6567" w:rsidRDefault="007C0770" w:rsidP="007C0770">
    <w:pPr>
      <w:pStyle w:val="Header"/>
      <w:tabs>
        <w:tab w:val="clear" w:pos="4536"/>
      </w:tabs>
    </w:pPr>
    <w:r>
      <w:rPr>
        <w:noProof/>
        <w:lang w:val="de-DE" w:eastAsia="de-DE"/>
      </w:rPr>
      <w:drawing>
        <wp:anchor distT="0" distB="0" distL="114300" distR="114300" simplePos="0" relativeHeight="251659264" behindDoc="1" locked="1" layoutInCell="0" allowOverlap="1" wp14:anchorId="189F1A89" wp14:editId="2AC9B497">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1144" w14:textId="77777777" w:rsidR="00AB5AB6" w:rsidRDefault="00AB5AB6">
    <w:pPr>
      <w:pStyle w:val="Header"/>
    </w:pPr>
    <w:r>
      <w:rPr>
        <w:noProof/>
        <w:lang w:val="de-DE" w:eastAsia="de-DE"/>
      </w:rPr>
      <mc:AlternateContent>
        <mc:Choice Requires="wps">
          <w:drawing>
            <wp:anchor distT="0" distB="0" distL="114300" distR="114300" simplePos="0" relativeHeight="251665408" behindDoc="0" locked="1" layoutInCell="0" allowOverlap="1" wp14:anchorId="1721CEE3" wp14:editId="070A9FA1">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70AA3"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val="de-DE" w:eastAsia="de-DE"/>
      </w:rPr>
      <mc:AlternateContent>
        <mc:Choice Requires="wps">
          <w:drawing>
            <wp:anchor distT="45720" distB="45720" distL="114300" distR="114300" simplePos="0" relativeHeight="251666432" behindDoc="0" locked="1" layoutInCell="1" allowOverlap="1" wp14:anchorId="3D9A89B4" wp14:editId="6CA18A4A">
              <wp:simplePos x="0" y="0"/>
              <wp:positionH relativeFrom="margin">
                <wp:align>left</wp:align>
              </wp:positionH>
              <wp:positionV relativeFrom="page">
                <wp:posOffset>860425</wp:posOffset>
              </wp:positionV>
              <wp:extent cx="2696400" cy="140462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400" cy="1404620"/>
                      </a:xfrm>
                      <a:prstGeom prst="rect">
                        <a:avLst/>
                      </a:prstGeom>
                      <a:solidFill>
                        <a:srgbClr val="FFFFFF"/>
                      </a:solidFill>
                      <a:ln w="9525">
                        <a:noFill/>
                        <a:miter lim="800000"/>
                        <a:headEnd/>
                        <a:tailEnd/>
                      </a:ln>
                    </wps:spPr>
                    <wps:txbx>
                      <w:txbxContent>
                        <w:p w14:paraId="6670612B" w14:textId="77777777" w:rsidR="00AB5AB6" w:rsidRPr="00D764A7" w:rsidRDefault="005E4E62" w:rsidP="00153B3F">
                          <w:pPr>
                            <w:spacing w:before="0" w:line="280" w:lineRule="exact"/>
                            <w:rPr>
                              <w:szCs w:val="20"/>
                            </w:rPr>
                          </w:pPr>
                          <w:r>
                            <w:t>Press and IR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A89B4" id="_x0000_t202" coordsize="21600,21600" o:spt="202" path="m,l,21600r21600,l21600,xe">
              <v:stroke joinstyle="miter"/>
              <v:path gradientshapeok="t" o:connecttype="rect"/>
            </v:shapetype>
            <v:shape id="Textfeld 2" o:spid="_x0000_s1028" type="#_x0000_t202" style="position:absolute;margin-left:0;margin-top:67.75pt;width:212.3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" stroked="f">
              <v:textbox style="mso-fit-shape-to-text:t" inset="0,0,0,0">
                <w:txbxContent>
                  <w:p w14:paraId="6670612B" w14:textId="77777777" w:rsidR="00AB5AB6" w:rsidRPr="00D764A7" w:rsidRDefault="005E4E62" w:rsidP="00153B3F">
                    <w:pPr>
                      <w:spacing w:before="0" w:line="280" w:lineRule="exact"/>
                      <w:rPr>
                        <w:szCs w:val="20"/>
                      </w:rPr>
                    </w:pPr>
                    <w:r>
                      <w:t>Press and IR release</w:t>
                    </w:r>
                  </w:p>
                </w:txbxContent>
              </v:textbox>
              <w10:wrap type="square" anchorx="margin" anchory="page"/>
              <w10:anchorlock/>
            </v:shape>
          </w:pict>
        </mc:Fallback>
      </mc:AlternateContent>
    </w:r>
    <w:r>
      <w:rPr>
        <w:noProof/>
        <w:lang w:val="de-DE" w:eastAsia="de-DE"/>
      </w:rPr>
      <w:drawing>
        <wp:anchor distT="0" distB="0" distL="114300" distR="114300" simplePos="0" relativeHeight="251663360" behindDoc="1" locked="1" layoutInCell="0" allowOverlap="1" wp14:anchorId="0C43392A" wp14:editId="09F4B28A">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69.7pt;height:671.45pt;visibility:visible;mso-wrap-style:square" o:bullet="t">
        <v:imagedata r:id="rId1" o:title=""/>
      </v:shape>
    </w:pict>
  </w:numPicBullet>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4144D8F"/>
    <w:multiLevelType w:val="hybridMultilevel"/>
    <w:tmpl w:val="79C86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A7FBE"/>
    <w:multiLevelType w:val="hybridMultilevel"/>
    <w:tmpl w:val="F5EE5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B37AA8"/>
    <w:multiLevelType w:val="hybridMultilevel"/>
    <w:tmpl w:val="A8A075BC"/>
    <w:lvl w:ilvl="0" w:tplc="35462ED4">
      <w:start w:val="1"/>
      <w:numFmt w:val="bullet"/>
      <w:lvlText w:val=""/>
      <w:lvlPicBulletId w:val="0"/>
      <w:lvlJc w:val="left"/>
      <w:pPr>
        <w:tabs>
          <w:tab w:val="num" w:pos="720"/>
        </w:tabs>
        <w:ind w:left="720" w:hanging="360"/>
      </w:pPr>
      <w:rPr>
        <w:rFonts w:ascii="Symbol" w:hAnsi="Symbol" w:hint="default"/>
      </w:rPr>
    </w:lvl>
    <w:lvl w:ilvl="1" w:tplc="C3F2B5AE" w:tentative="1">
      <w:start w:val="1"/>
      <w:numFmt w:val="bullet"/>
      <w:lvlText w:val=""/>
      <w:lvlJc w:val="left"/>
      <w:pPr>
        <w:tabs>
          <w:tab w:val="num" w:pos="1440"/>
        </w:tabs>
        <w:ind w:left="1440" w:hanging="360"/>
      </w:pPr>
      <w:rPr>
        <w:rFonts w:ascii="Symbol" w:hAnsi="Symbol" w:hint="default"/>
      </w:rPr>
    </w:lvl>
    <w:lvl w:ilvl="2" w:tplc="4992E818" w:tentative="1">
      <w:start w:val="1"/>
      <w:numFmt w:val="bullet"/>
      <w:lvlText w:val=""/>
      <w:lvlJc w:val="left"/>
      <w:pPr>
        <w:tabs>
          <w:tab w:val="num" w:pos="2160"/>
        </w:tabs>
        <w:ind w:left="2160" w:hanging="360"/>
      </w:pPr>
      <w:rPr>
        <w:rFonts w:ascii="Symbol" w:hAnsi="Symbol" w:hint="default"/>
      </w:rPr>
    </w:lvl>
    <w:lvl w:ilvl="3" w:tplc="81D8C454" w:tentative="1">
      <w:start w:val="1"/>
      <w:numFmt w:val="bullet"/>
      <w:lvlText w:val=""/>
      <w:lvlJc w:val="left"/>
      <w:pPr>
        <w:tabs>
          <w:tab w:val="num" w:pos="2880"/>
        </w:tabs>
        <w:ind w:left="2880" w:hanging="360"/>
      </w:pPr>
      <w:rPr>
        <w:rFonts w:ascii="Symbol" w:hAnsi="Symbol" w:hint="default"/>
      </w:rPr>
    </w:lvl>
    <w:lvl w:ilvl="4" w:tplc="4ACAA858" w:tentative="1">
      <w:start w:val="1"/>
      <w:numFmt w:val="bullet"/>
      <w:lvlText w:val=""/>
      <w:lvlJc w:val="left"/>
      <w:pPr>
        <w:tabs>
          <w:tab w:val="num" w:pos="3600"/>
        </w:tabs>
        <w:ind w:left="3600" w:hanging="360"/>
      </w:pPr>
      <w:rPr>
        <w:rFonts w:ascii="Symbol" w:hAnsi="Symbol" w:hint="default"/>
      </w:rPr>
    </w:lvl>
    <w:lvl w:ilvl="5" w:tplc="DDA20864" w:tentative="1">
      <w:start w:val="1"/>
      <w:numFmt w:val="bullet"/>
      <w:lvlText w:val=""/>
      <w:lvlJc w:val="left"/>
      <w:pPr>
        <w:tabs>
          <w:tab w:val="num" w:pos="4320"/>
        </w:tabs>
        <w:ind w:left="4320" w:hanging="360"/>
      </w:pPr>
      <w:rPr>
        <w:rFonts w:ascii="Symbol" w:hAnsi="Symbol" w:hint="default"/>
      </w:rPr>
    </w:lvl>
    <w:lvl w:ilvl="6" w:tplc="56485D24" w:tentative="1">
      <w:start w:val="1"/>
      <w:numFmt w:val="bullet"/>
      <w:lvlText w:val=""/>
      <w:lvlJc w:val="left"/>
      <w:pPr>
        <w:tabs>
          <w:tab w:val="num" w:pos="5040"/>
        </w:tabs>
        <w:ind w:left="5040" w:hanging="360"/>
      </w:pPr>
      <w:rPr>
        <w:rFonts w:ascii="Symbol" w:hAnsi="Symbol" w:hint="default"/>
      </w:rPr>
    </w:lvl>
    <w:lvl w:ilvl="7" w:tplc="8FC033C2" w:tentative="1">
      <w:start w:val="1"/>
      <w:numFmt w:val="bullet"/>
      <w:lvlText w:val=""/>
      <w:lvlJc w:val="left"/>
      <w:pPr>
        <w:tabs>
          <w:tab w:val="num" w:pos="5760"/>
        </w:tabs>
        <w:ind w:left="5760" w:hanging="360"/>
      </w:pPr>
      <w:rPr>
        <w:rFonts w:ascii="Symbol" w:hAnsi="Symbol" w:hint="default"/>
      </w:rPr>
    </w:lvl>
    <w:lvl w:ilvl="8" w:tplc="F1167EBC"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9"/>
  </w:num>
  <w:num w:numId="8">
    <w:abstractNumId w:val="4"/>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62"/>
    <w:rsid w:val="00001A27"/>
    <w:rsid w:val="00002BAA"/>
    <w:rsid w:val="0000465C"/>
    <w:rsid w:val="0000565C"/>
    <w:rsid w:val="00015FD4"/>
    <w:rsid w:val="000175C3"/>
    <w:rsid w:val="0002077D"/>
    <w:rsid w:val="00024FC5"/>
    <w:rsid w:val="00026162"/>
    <w:rsid w:val="0002634A"/>
    <w:rsid w:val="00027D01"/>
    <w:rsid w:val="0003017C"/>
    <w:rsid w:val="00047292"/>
    <w:rsid w:val="000579FB"/>
    <w:rsid w:val="00061837"/>
    <w:rsid w:val="00063033"/>
    <w:rsid w:val="0006374E"/>
    <w:rsid w:val="000638D5"/>
    <w:rsid w:val="0006642F"/>
    <w:rsid w:val="00072436"/>
    <w:rsid w:val="00073DD4"/>
    <w:rsid w:val="00075654"/>
    <w:rsid w:val="0008085F"/>
    <w:rsid w:val="00080BC1"/>
    <w:rsid w:val="00090EF5"/>
    <w:rsid w:val="00090F74"/>
    <w:rsid w:val="000915D6"/>
    <w:rsid w:val="00092B36"/>
    <w:rsid w:val="00092F3D"/>
    <w:rsid w:val="00095635"/>
    <w:rsid w:val="00095A9D"/>
    <w:rsid w:val="00095AEC"/>
    <w:rsid w:val="00095AF9"/>
    <w:rsid w:val="000A183F"/>
    <w:rsid w:val="000A1E68"/>
    <w:rsid w:val="000A262F"/>
    <w:rsid w:val="000A31E1"/>
    <w:rsid w:val="000A3D5E"/>
    <w:rsid w:val="000A7D39"/>
    <w:rsid w:val="000B0177"/>
    <w:rsid w:val="000C2196"/>
    <w:rsid w:val="000C3B7A"/>
    <w:rsid w:val="000C4298"/>
    <w:rsid w:val="000C57A5"/>
    <w:rsid w:val="000C6C47"/>
    <w:rsid w:val="000C6ED3"/>
    <w:rsid w:val="000D17C0"/>
    <w:rsid w:val="000D243A"/>
    <w:rsid w:val="000D33FE"/>
    <w:rsid w:val="000D3A25"/>
    <w:rsid w:val="000E100D"/>
    <w:rsid w:val="000E5261"/>
    <w:rsid w:val="000E67F0"/>
    <w:rsid w:val="000F3BA9"/>
    <w:rsid w:val="000F4A03"/>
    <w:rsid w:val="000F6D0F"/>
    <w:rsid w:val="00103F96"/>
    <w:rsid w:val="0010549F"/>
    <w:rsid w:val="00105DA7"/>
    <w:rsid w:val="00106786"/>
    <w:rsid w:val="00113A4F"/>
    <w:rsid w:val="00114097"/>
    <w:rsid w:val="001212DA"/>
    <w:rsid w:val="0012719B"/>
    <w:rsid w:val="00131B61"/>
    <w:rsid w:val="0013382E"/>
    <w:rsid w:val="0013737E"/>
    <w:rsid w:val="00142129"/>
    <w:rsid w:val="001426EB"/>
    <w:rsid w:val="00143001"/>
    <w:rsid w:val="001467CB"/>
    <w:rsid w:val="00146BD6"/>
    <w:rsid w:val="00151A31"/>
    <w:rsid w:val="00153B3F"/>
    <w:rsid w:val="00162450"/>
    <w:rsid w:val="00163AA3"/>
    <w:rsid w:val="00165181"/>
    <w:rsid w:val="00166911"/>
    <w:rsid w:val="00176E53"/>
    <w:rsid w:val="00177960"/>
    <w:rsid w:val="001809E6"/>
    <w:rsid w:val="00184CFF"/>
    <w:rsid w:val="001870F1"/>
    <w:rsid w:val="001909D1"/>
    <w:rsid w:val="00192B6B"/>
    <w:rsid w:val="00195762"/>
    <w:rsid w:val="001A1E2F"/>
    <w:rsid w:val="001A20AF"/>
    <w:rsid w:val="001A2241"/>
    <w:rsid w:val="001A2C0A"/>
    <w:rsid w:val="001A36F5"/>
    <w:rsid w:val="001A4DFA"/>
    <w:rsid w:val="001A608B"/>
    <w:rsid w:val="001A71F2"/>
    <w:rsid w:val="001B470E"/>
    <w:rsid w:val="001B5015"/>
    <w:rsid w:val="001B7EDE"/>
    <w:rsid w:val="001C4343"/>
    <w:rsid w:val="001C49DF"/>
    <w:rsid w:val="001D028C"/>
    <w:rsid w:val="001D0690"/>
    <w:rsid w:val="001D481B"/>
    <w:rsid w:val="001D7A20"/>
    <w:rsid w:val="001E432C"/>
    <w:rsid w:val="001F0BB7"/>
    <w:rsid w:val="001F346C"/>
    <w:rsid w:val="001F68D0"/>
    <w:rsid w:val="0020349B"/>
    <w:rsid w:val="00204515"/>
    <w:rsid w:val="002062C8"/>
    <w:rsid w:val="00206D63"/>
    <w:rsid w:val="00220896"/>
    <w:rsid w:val="00225CCB"/>
    <w:rsid w:val="00226573"/>
    <w:rsid w:val="002271B7"/>
    <w:rsid w:val="002317C9"/>
    <w:rsid w:val="0024190C"/>
    <w:rsid w:val="002428B6"/>
    <w:rsid w:val="002464AF"/>
    <w:rsid w:val="002479FF"/>
    <w:rsid w:val="00252459"/>
    <w:rsid w:val="00263426"/>
    <w:rsid w:val="00270199"/>
    <w:rsid w:val="00272BD4"/>
    <w:rsid w:val="0028422D"/>
    <w:rsid w:val="00284381"/>
    <w:rsid w:val="00285058"/>
    <w:rsid w:val="00291368"/>
    <w:rsid w:val="00292638"/>
    <w:rsid w:val="0029365C"/>
    <w:rsid w:val="00296941"/>
    <w:rsid w:val="002A7111"/>
    <w:rsid w:val="002B2B0F"/>
    <w:rsid w:val="002C5934"/>
    <w:rsid w:val="002D3269"/>
    <w:rsid w:val="002E68F4"/>
    <w:rsid w:val="002F03A3"/>
    <w:rsid w:val="002F5C3A"/>
    <w:rsid w:val="002F71F8"/>
    <w:rsid w:val="00300D11"/>
    <w:rsid w:val="003022D5"/>
    <w:rsid w:val="0030451E"/>
    <w:rsid w:val="00305273"/>
    <w:rsid w:val="00305A81"/>
    <w:rsid w:val="003060A0"/>
    <w:rsid w:val="003069D2"/>
    <w:rsid w:val="00307809"/>
    <w:rsid w:val="0031007F"/>
    <w:rsid w:val="0031019A"/>
    <w:rsid w:val="003175F5"/>
    <w:rsid w:val="0032006C"/>
    <w:rsid w:val="003219C8"/>
    <w:rsid w:val="0033073A"/>
    <w:rsid w:val="0033108C"/>
    <w:rsid w:val="00331B4F"/>
    <w:rsid w:val="003331B3"/>
    <w:rsid w:val="00336E29"/>
    <w:rsid w:val="00345414"/>
    <w:rsid w:val="003457D7"/>
    <w:rsid w:val="00345D96"/>
    <w:rsid w:val="003507C4"/>
    <w:rsid w:val="003549B5"/>
    <w:rsid w:val="00363692"/>
    <w:rsid w:val="00364F46"/>
    <w:rsid w:val="0037195E"/>
    <w:rsid w:val="00374018"/>
    <w:rsid w:val="00386279"/>
    <w:rsid w:val="00386686"/>
    <w:rsid w:val="00390206"/>
    <w:rsid w:val="00390428"/>
    <w:rsid w:val="00395144"/>
    <w:rsid w:val="003A2298"/>
    <w:rsid w:val="003A5E68"/>
    <w:rsid w:val="003B1CDD"/>
    <w:rsid w:val="003B372C"/>
    <w:rsid w:val="003B41EF"/>
    <w:rsid w:val="003B43B5"/>
    <w:rsid w:val="003B7DDD"/>
    <w:rsid w:val="003C0209"/>
    <w:rsid w:val="003C50F0"/>
    <w:rsid w:val="003C7EC2"/>
    <w:rsid w:val="003D2128"/>
    <w:rsid w:val="003D40FF"/>
    <w:rsid w:val="003D63CC"/>
    <w:rsid w:val="003E76B0"/>
    <w:rsid w:val="003F62B3"/>
    <w:rsid w:val="00401237"/>
    <w:rsid w:val="004025F0"/>
    <w:rsid w:val="004055DF"/>
    <w:rsid w:val="004076E1"/>
    <w:rsid w:val="00407DFE"/>
    <w:rsid w:val="00411E4E"/>
    <w:rsid w:val="00415ABD"/>
    <w:rsid w:val="00422B9B"/>
    <w:rsid w:val="004255DA"/>
    <w:rsid w:val="004306CE"/>
    <w:rsid w:val="004312B2"/>
    <w:rsid w:val="004317DA"/>
    <w:rsid w:val="00442A00"/>
    <w:rsid w:val="00443EA5"/>
    <w:rsid w:val="00443EB9"/>
    <w:rsid w:val="0044561E"/>
    <w:rsid w:val="0044790B"/>
    <w:rsid w:val="0045055A"/>
    <w:rsid w:val="0045058D"/>
    <w:rsid w:val="004523D3"/>
    <w:rsid w:val="0045526D"/>
    <w:rsid w:val="004701B8"/>
    <w:rsid w:val="00471B08"/>
    <w:rsid w:val="00473579"/>
    <w:rsid w:val="004740C9"/>
    <w:rsid w:val="004768F1"/>
    <w:rsid w:val="00477E20"/>
    <w:rsid w:val="00481152"/>
    <w:rsid w:val="0048160E"/>
    <w:rsid w:val="0048274E"/>
    <w:rsid w:val="00483DFB"/>
    <w:rsid w:val="00485DCC"/>
    <w:rsid w:val="00487979"/>
    <w:rsid w:val="00493170"/>
    <w:rsid w:val="004A1A91"/>
    <w:rsid w:val="004A2769"/>
    <w:rsid w:val="004A2C92"/>
    <w:rsid w:val="004A5DBD"/>
    <w:rsid w:val="004A7DBF"/>
    <w:rsid w:val="004A7F39"/>
    <w:rsid w:val="004B114C"/>
    <w:rsid w:val="004B2BCC"/>
    <w:rsid w:val="004B6C76"/>
    <w:rsid w:val="004B70EF"/>
    <w:rsid w:val="004C04C9"/>
    <w:rsid w:val="004C2D04"/>
    <w:rsid w:val="004C32D9"/>
    <w:rsid w:val="004C4397"/>
    <w:rsid w:val="004C458A"/>
    <w:rsid w:val="004C514E"/>
    <w:rsid w:val="004C7B9A"/>
    <w:rsid w:val="004C7FEA"/>
    <w:rsid w:val="004D718D"/>
    <w:rsid w:val="004D7DB1"/>
    <w:rsid w:val="004E0945"/>
    <w:rsid w:val="004E20BE"/>
    <w:rsid w:val="004E45DD"/>
    <w:rsid w:val="004F0FDA"/>
    <w:rsid w:val="004F752B"/>
    <w:rsid w:val="00502535"/>
    <w:rsid w:val="00504648"/>
    <w:rsid w:val="005048F3"/>
    <w:rsid w:val="00506203"/>
    <w:rsid w:val="00506A5D"/>
    <w:rsid w:val="005176A0"/>
    <w:rsid w:val="00520B52"/>
    <w:rsid w:val="00522E80"/>
    <w:rsid w:val="005232BD"/>
    <w:rsid w:val="00523C0B"/>
    <w:rsid w:val="00524C53"/>
    <w:rsid w:val="00524E0A"/>
    <w:rsid w:val="005254C5"/>
    <w:rsid w:val="00525E55"/>
    <w:rsid w:val="0052652F"/>
    <w:rsid w:val="0053075C"/>
    <w:rsid w:val="005333A7"/>
    <w:rsid w:val="00536091"/>
    <w:rsid w:val="00544894"/>
    <w:rsid w:val="00547F59"/>
    <w:rsid w:val="00550B26"/>
    <w:rsid w:val="00553087"/>
    <w:rsid w:val="00554571"/>
    <w:rsid w:val="005632B5"/>
    <w:rsid w:val="00564F6E"/>
    <w:rsid w:val="00570256"/>
    <w:rsid w:val="00570259"/>
    <w:rsid w:val="005705CA"/>
    <w:rsid w:val="0057222E"/>
    <w:rsid w:val="00572C57"/>
    <w:rsid w:val="00576224"/>
    <w:rsid w:val="00576CED"/>
    <w:rsid w:val="00576D72"/>
    <w:rsid w:val="005771CE"/>
    <w:rsid w:val="00585B1D"/>
    <w:rsid w:val="00587E5C"/>
    <w:rsid w:val="005926D5"/>
    <w:rsid w:val="00597FD7"/>
    <w:rsid w:val="005A162D"/>
    <w:rsid w:val="005A45D3"/>
    <w:rsid w:val="005B089F"/>
    <w:rsid w:val="005B1321"/>
    <w:rsid w:val="005B2E45"/>
    <w:rsid w:val="005B3166"/>
    <w:rsid w:val="005B6BC9"/>
    <w:rsid w:val="005C04F4"/>
    <w:rsid w:val="005C10E6"/>
    <w:rsid w:val="005C16DF"/>
    <w:rsid w:val="005C241A"/>
    <w:rsid w:val="005C4491"/>
    <w:rsid w:val="005C5633"/>
    <w:rsid w:val="005D2320"/>
    <w:rsid w:val="005D5DC9"/>
    <w:rsid w:val="005D624F"/>
    <w:rsid w:val="005D6B8B"/>
    <w:rsid w:val="005D7B7F"/>
    <w:rsid w:val="005E186F"/>
    <w:rsid w:val="005E474A"/>
    <w:rsid w:val="005E4E62"/>
    <w:rsid w:val="005E65D1"/>
    <w:rsid w:val="005E7FA9"/>
    <w:rsid w:val="005F08BE"/>
    <w:rsid w:val="005F148F"/>
    <w:rsid w:val="005F31F6"/>
    <w:rsid w:val="005F395A"/>
    <w:rsid w:val="005F6947"/>
    <w:rsid w:val="006009D4"/>
    <w:rsid w:val="00600AC2"/>
    <w:rsid w:val="00600CAE"/>
    <w:rsid w:val="00606D11"/>
    <w:rsid w:val="00607746"/>
    <w:rsid w:val="0061480D"/>
    <w:rsid w:val="006156E3"/>
    <w:rsid w:val="00621561"/>
    <w:rsid w:val="00622B0C"/>
    <w:rsid w:val="00622BF4"/>
    <w:rsid w:val="00624707"/>
    <w:rsid w:val="0062504A"/>
    <w:rsid w:val="00625BE8"/>
    <w:rsid w:val="00627A55"/>
    <w:rsid w:val="00627ED6"/>
    <w:rsid w:val="00632A82"/>
    <w:rsid w:val="006337F4"/>
    <w:rsid w:val="00650DAD"/>
    <w:rsid w:val="00651D80"/>
    <w:rsid w:val="006607A2"/>
    <w:rsid w:val="006672C3"/>
    <w:rsid w:val="00667F97"/>
    <w:rsid w:val="00671281"/>
    <w:rsid w:val="006717CF"/>
    <w:rsid w:val="00677A29"/>
    <w:rsid w:val="0068041D"/>
    <w:rsid w:val="00682D46"/>
    <w:rsid w:val="006847F5"/>
    <w:rsid w:val="00685639"/>
    <w:rsid w:val="006856E7"/>
    <w:rsid w:val="00693949"/>
    <w:rsid w:val="006963A3"/>
    <w:rsid w:val="006A05A8"/>
    <w:rsid w:val="006A4B40"/>
    <w:rsid w:val="006A57C7"/>
    <w:rsid w:val="006A5C61"/>
    <w:rsid w:val="006A7E9A"/>
    <w:rsid w:val="006B3035"/>
    <w:rsid w:val="006D08E1"/>
    <w:rsid w:val="006D65F9"/>
    <w:rsid w:val="006E28E7"/>
    <w:rsid w:val="006E458C"/>
    <w:rsid w:val="006E5671"/>
    <w:rsid w:val="006E5B50"/>
    <w:rsid w:val="006E754B"/>
    <w:rsid w:val="006E77CB"/>
    <w:rsid w:val="006F0A8A"/>
    <w:rsid w:val="006F682A"/>
    <w:rsid w:val="006F68C8"/>
    <w:rsid w:val="00700ED1"/>
    <w:rsid w:val="00705B64"/>
    <w:rsid w:val="00707B60"/>
    <w:rsid w:val="007114A2"/>
    <w:rsid w:val="00711F7A"/>
    <w:rsid w:val="00715DAE"/>
    <w:rsid w:val="00720014"/>
    <w:rsid w:val="00720AD6"/>
    <w:rsid w:val="00721179"/>
    <w:rsid w:val="00723132"/>
    <w:rsid w:val="00726072"/>
    <w:rsid w:val="00731AD7"/>
    <w:rsid w:val="00731BC9"/>
    <w:rsid w:val="00731ECC"/>
    <w:rsid w:val="00732A81"/>
    <w:rsid w:val="00732C15"/>
    <w:rsid w:val="00733A28"/>
    <w:rsid w:val="0073664F"/>
    <w:rsid w:val="00737355"/>
    <w:rsid w:val="00741E49"/>
    <w:rsid w:val="0074644F"/>
    <w:rsid w:val="0075108F"/>
    <w:rsid w:val="0075670C"/>
    <w:rsid w:val="00761A1C"/>
    <w:rsid w:val="0076368A"/>
    <w:rsid w:val="0077119E"/>
    <w:rsid w:val="0077666B"/>
    <w:rsid w:val="007975E0"/>
    <w:rsid w:val="007A31CF"/>
    <w:rsid w:val="007A7FF5"/>
    <w:rsid w:val="007C0770"/>
    <w:rsid w:val="007C7D62"/>
    <w:rsid w:val="007D0988"/>
    <w:rsid w:val="007D4D4E"/>
    <w:rsid w:val="007F2239"/>
    <w:rsid w:val="007F298A"/>
    <w:rsid w:val="007F2A57"/>
    <w:rsid w:val="007F3AAA"/>
    <w:rsid w:val="00807A6B"/>
    <w:rsid w:val="00810A71"/>
    <w:rsid w:val="00811325"/>
    <w:rsid w:val="008126F6"/>
    <w:rsid w:val="0081556D"/>
    <w:rsid w:val="008201F9"/>
    <w:rsid w:val="00820E4C"/>
    <w:rsid w:val="00825209"/>
    <w:rsid w:val="008325A2"/>
    <w:rsid w:val="008354A6"/>
    <w:rsid w:val="00835BA1"/>
    <w:rsid w:val="00836542"/>
    <w:rsid w:val="0083696F"/>
    <w:rsid w:val="00842E3A"/>
    <w:rsid w:val="0084716E"/>
    <w:rsid w:val="00847265"/>
    <w:rsid w:val="008474A3"/>
    <w:rsid w:val="008474AA"/>
    <w:rsid w:val="00847850"/>
    <w:rsid w:val="008515B4"/>
    <w:rsid w:val="00851D1B"/>
    <w:rsid w:val="0085218D"/>
    <w:rsid w:val="00854130"/>
    <w:rsid w:val="00854F07"/>
    <w:rsid w:val="0085755D"/>
    <w:rsid w:val="00857DD6"/>
    <w:rsid w:val="00860908"/>
    <w:rsid w:val="00860C29"/>
    <w:rsid w:val="00865363"/>
    <w:rsid w:val="008704D7"/>
    <w:rsid w:val="00871B32"/>
    <w:rsid w:val="00873076"/>
    <w:rsid w:val="00877441"/>
    <w:rsid w:val="008807B5"/>
    <w:rsid w:val="008827BF"/>
    <w:rsid w:val="00886CA0"/>
    <w:rsid w:val="008878B0"/>
    <w:rsid w:val="008919F4"/>
    <w:rsid w:val="00896A37"/>
    <w:rsid w:val="008A3B63"/>
    <w:rsid w:val="008A4131"/>
    <w:rsid w:val="008A495F"/>
    <w:rsid w:val="008B3BE9"/>
    <w:rsid w:val="008B60F6"/>
    <w:rsid w:val="008B7E66"/>
    <w:rsid w:val="008C0BC7"/>
    <w:rsid w:val="008C1475"/>
    <w:rsid w:val="008D07CC"/>
    <w:rsid w:val="008D3A7C"/>
    <w:rsid w:val="008E308F"/>
    <w:rsid w:val="009013E3"/>
    <w:rsid w:val="00904836"/>
    <w:rsid w:val="00911F16"/>
    <w:rsid w:val="00914B2A"/>
    <w:rsid w:val="00914DF9"/>
    <w:rsid w:val="009232BD"/>
    <w:rsid w:val="00924481"/>
    <w:rsid w:val="00924DA8"/>
    <w:rsid w:val="00930BDD"/>
    <w:rsid w:val="009316EA"/>
    <w:rsid w:val="009352B2"/>
    <w:rsid w:val="0093558F"/>
    <w:rsid w:val="009445A9"/>
    <w:rsid w:val="00947EA3"/>
    <w:rsid w:val="009560C2"/>
    <w:rsid w:val="009637E2"/>
    <w:rsid w:val="009649C3"/>
    <w:rsid w:val="00970557"/>
    <w:rsid w:val="00971DD3"/>
    <w:rsid w:val="00977CAB"/>
    <w:rsid w:val="009816BE"/>
    <w:rsid w:val="00983920"/>
    <w:rsid w:val="009842AB"/>
    <w:rsid w:val="009874B1"/>
    <w:rsid w:val="00987C0C"/>
    <w:rsid w:val="00990C2A"/>
    <w:rsid w:val="00993A43"/>
    <w:rsid w:val="00997A99"/>
    <w:rsid w:val="009A31C6"/>
    <w:rsid w:val="009A33BC"/>
    <w:rsid w:val="009A342D"/>
    <w:rsid w:val="009A581F"/>
    <w:rsid w:val="009A5847"/>
    <w:rsid w:val="009A6878"/>
    <w:rsid w:val="009A6BAF"/>
    <w:rsid w:val="009B056E"/>
    <w:rsid w:val="009B4326"/>
    <w:rsid w:val="009D02B9"/>
    <w:rsid w:val="009D15A0"/>
    <w:rsid w:val="009D3CF1"/>
    <w:rsid w:val="009E195F"/>
    <w:rsid w:val="009E29E2"/>
    <w:rsid w:val="009E4B7A"/>
    <w:rsid w:val="009E6652"/>
    <w:rsid w:val="009E674B"/>
    <w:rsid w:val="009E778D"/>
    <w:rsid w:val="009F0C0C"/>
    <w:rsid w:val="009F7E26"/>
    <w:rsid w:val="00A03D1B"/>
    <w:rsid w:val="00A05255"/>
    <w:rsid w:val="00A11667"/>
    <w:rsid w:val="00A12446"/>
    <w:rsid w:val="00A13EA1"/>
    <w:rsid w:val="00A13ECA"/>
    <w:rsid w:val="00A15092"/>
    <w:rsid w:val="00A154BD"/>
    <w:rsid w:val="00A20B33"/>
    <w:rsid w:val="00A2130E"/>
    <w:rsid w:val="00A21D4A"/>
    <w:rsid w:val="00A25928"/>
    <w:rsid w:val="00A2707E"/>
    <w:rsid w:val="00A468F2"/>
    <w:rsid w:val="00A544B3"/>
    <w:rsid w:val="00A55645"/>
    <w:rsid w:val="00A57449"/>
    <w:rsid w:val="00A57EB1"/>
    <w:rsid w:val="00A60018"/>
    <w:rsid w:val="00A64415"/>
    <w:rsid w:val="00A661D7"/>
    <w:rsid w:val="00A713DE"/>
    <w:rsid w:val="00A72030"/>
    <w:rsid w:val="00A72441"/>
    <w:rsid w:val="00A74461"/>
    <w:rsid w:val="00A75D34"/>
    <w:rsid w:val="00A82D6A"/>
    <w:rsid w:val="00A83896"/>
    <w:rsid w:val="00A84B9B"/>
    <w:rsid w:val="00A8579D"/>
    <w:rsid w:val="00A95CA6"/>
    <w:rsid w:val="00AA15CA"/>
    <w:rsid w:val="00AA4D9E"/>
    <w:rsid w:val="00AA5FC0"/>
    <w:rsid w:val="00AA723A"/>
    <w:rsid w:val="00AB032F"/>
    <w:rsid w:val="00AB561A"/>
    <w:rsid w:val="00AB5AB6"/>
    <w:rsid w:val="00AC5418"/>
    <w:rsid w:val="00AD0056"/>
    <w:rsid w:val="00AD3372"/>
    <w:rsid w:val="00AE35CA"/>
    <w:rsid w:val="00AE4755"/>
    <w:rsid w:val="00AE5948"/>
    <w:rsid w:val="00AF4D6F"/>
    <w:rsid w:val="00AF6025"/>
    <w:rsid w:val="00B00195"/>
    <w:rsid w:val="00B0162B"/>
    <w:rsid w:val="00B04037"/>
    <w:rsid w:val="00B05DA3"/>
    <w:rsid w:val="00B16E80"/>
    <w:rsid w:val="00B174C1"/>
    <w:rsid w:val="00B1782B"/>
    <w:rsid w:val="00B2433A"/>
    <w:rsid w:val="00B35C26"/>
    <w:rsid w:val="00B369DF"/>
    <w:rsid w:val="00B41CE7"/>
    <w:rsid w:val="00B45B75"/>
    <w:rsid w:val="00B4677C"/>
    <w:rsid w:val="00B53181"/>
    <w:rsid w:val="00B53895"/>
    <w:rsid w:val="00B53C7D"/>
    <w:rsid w:val="00B621B8"/>
    <w:rsid w:val="00B63A02"/>
    <w:rsid w:val="00B654F5"/>
    <w:rsid w:val="00B6570C"/>
    <w:rsid w:val="00B67730"/>
    <w:rsid w:val="00B714B3"/>
    <w:rsid w:val="00B726AE"/>
    <w:rsid w:val="00B77148"/>
    <w:rsid w:val="00B80B85"/>
    <w:rsid w:val="00B83763"/>
    <w:rsid w:val="00B849E4"/>
    <w:rsid w:val="00B856B4"/>
    <w:rsid w:val="00B92949"/>
    <w:rsid w:val="00B97C94"/>
    <w:rsid w:val="00BA5BD1"/>
    <w:rsid w:val="00BB0561"/>
    <w:rsid w:val="00BB3D27"/>
    <w:rsid w:val="00BB407B"/>
    <w:rsid w:val="00BB54CA"/>
    <w:rsid w:val="00BC29E8"/>
    <w:rsid w:val="00BC6214"/>
    <w:rsid w:val="00BC7D2D"/>
    <w:rsid w:val="00BD1F62"/>
    <w:rsid w:val="00BE0E43"/>
    <w:rsid w:val="00BE6804"/>
    <w:rsid w:val="00BF3194"/>
    <w:rsid w:val="00BF3A1D"/>
    <w:rsid w:val="00BF3CF7"/>
    <w:rsid w:val="00BF3E00"/>
    <w:rsid w:val="00BF59F5"/>
    <w:rsid w:val="00BF5F96"/>
    <w:rsid w:val="00C01155"/>
    <w:rsid w:val="00C01A2C"/>
    <w:rsid w:val="00C05465"/>
    <w:rsid w:val="00C07206"/>
    <w:rsid w:val="00C10DE4"/>
    <w:rsid w:val="00C113C7"/>
    <w:rsid w:val="00C16018"/>
    <w:rsid w:val="00C203B3"/>
    <w:rsid w:val="00C20EA4"/>
    <w:rsid w:val="00C27718"/>
    <w:rsid w:val="00C3278A"/>
    <w:rsid w:val="00C32B09"/>
    <w:rsid w:val="00C34B6E"/>
    <w:rsid w:val="00C34F6F"/>
    <w:rsid w:val="00C35AAF"/>
    <w:rsid w:val="00C402F3"/>
    <w:rsid w:val="00C41299"/>
    <w:rsid w:val="00C4233B"/>
    <w:rsid w:val="00C442B2"/>
    <w:rsid w:val="00C45F1A"/>
    <w:rsid w:val="00C46C0A"/>
    <w:rsid w:val="00C53FA0"/>
    <w:rsid w:val="00C569BE"/>
    <w:rsid w:val="00C571BB"/>
    <w:rsid w:val="00C57C9D"/>
    <w:rsid w:val="00C63A5D"/>
    <w:rsid w:val="00C65A48"/>
    <w:rsid w:val="00C721A9"/>
    <w:rsid w:val="00C807A1"/>
    <w:rsid w:val="00C81756"/>
    <w:rsid w:val="00C87DC5"/>
    <w:rsid w:val="00C900C5"/>
    <w:rsid w:val="00C94A6D"/>
    <w:rsid w:val="00CA0277"/>
    <w:rsid w:val="00CA3344"/>
    <w:rsid w:val="00CB0E86"/>
    <w:rsid w:val="00CB1643"/>
    <w:rsid w:val="00CB4823"/>
    <w:rsid w:val="00CB5285"/>
    <w:rsid w:val="00CC68B2"/>
    <w:rsid w:val="00CD0BDE"/>
    <w:rsid w:val="00CD0C9F"/>
    <w:rsid w:val="00CD61A6"/>
    <w:rsid w:val="00CD681D"/>
    <w:rsid w:val="00CD708F"/>
    <w:rsid w:val="00CD7AE9"/>
    <w:rsid w:val="00CD7E4A"/>
    <w:rsid w:val="00CE7632"/>
    <w:rsid w:val="00CF0A14"/>
    <w:rsid w:val="00CF0DAD"/>
    <w:rsid w:val="00CF5545"/>
    <w:rsid w:val="00CF566C"/>
    <w:rsid w:val="00CF6FA9"/>
    <w:rsid w:val="00D02A5F"/>
    <w:rsid w:val="00D11C2F"/>
    <w:rsid w:val="00D127BD"/>
    <w:rsid w:val="00D17C5A"/>
    <w:rsid w:val="00D23B59"/>
    <w:rsid w:val="00D256B8"/>
    <w:rsid w:val="00D27390"/>
    <w:rsid w:val="00D335BA"/>
    <w:rsid w:val="00D35259"/>
    <w:rsid w:val="00D361DE"/>
    <w:rsid w:val="00D45493"/>
    <w:rsid w:val="00D46C15"/>
    <w:rsid w:val="00D51C7E"/>
    <w:rsid w:val="00D53F02"/>
    <w:rsid w:val="00D56B1E"/>
    <w:rsid w:val="00D62638"/>
    <w:rsid w:val="00D63FDB"/>
    <w:rsid w:val="00D75CDA"/>
    <w:rsid w:val="00D764A7"/>
    <w:rsid w:val="00D768E8"/>
    <w:rsid w:val="00D9004C"/>
    <w:rsid w:val="00D91308"/>
    <w:rsid w:val="00D97B9F"/>
    <w:rsid w:val="00DA11EB"/>
    <w:rsid w:val="00DA5D8E"/>
    <w:rsid w:val="00DA5E41"/>
    <w:rsid w:val="00DA7F89"/>
    <w:rsid w:val="00DB077D"/>
    <w:rsid w:val="00DB35FB"/>
    <w:rsid w:val="00DB3DDF"/>
    <w:rsid w:val="00DB4250"/>
    <w:rsid w:val="00DB561C"/>
    <w:rsid w:val="00DB5988"/>
    <w:rsid w:val="00DB7372"/>
    <w:rsid w:val="00DC3199"/>
    <w:rsid w:val="00DC6F13"/>
    <w:rsid w:val="00DD5C05"/>
    <w:rsid w:val="00DE3A5B"/>
    <w:rsid w:val="00DE40DA"/>
    <w:rsid w:val="00DE5A3C"/>
    <w:rsid w:val="00DF0BA8"/>
    <w:rsid w:val="00DF3762"/>
    <w:rsid w:val="00DF61B4"/>
    <w:rsid w:val="00DF6567"/>
    <w:rsid w:val="00DF762E"/>
    <w:rsid w:val="00E01462"/>
    <w:rsid w:val="00E02FF9"/>
    <w:rsid w:val="00E0303B"/>
    <w:rsid w:val="00E03859"/>
    <w:rsid w:val="00E04A63"/>
    <w:rsid w:val="00E072C0"/>
    <w:rsid w:val="00E1054C"/>
    <w:rsid w:val="00E207CA"/>
    <w:rsid w:val="00E20D57"/>
    <w:rsid w:val="00E24B06"/>
    <w:rsid w:val="00E31D54"/>
    <w:rsid w:val="00E32CE2"/>
    <w:rsid w:val="00E36218"/>
    <w:rsid w:val="00E51A3F"/>
    <w:rsid w:val="00E53119"/>
    <w:rsid w:val="00E53BAB"/>
    <w:rsid w:val="00E53CA0"/>
    <w:rsid w:val="00E622E7"/>
    <w:rsid w:val="00E635CA"/>
    <w:rsid w:val="00E6701F"/>
    <w:rsid w:val="00E67FBA"/>
    <w:rsid w:val="00E7165C"/>
    <w:rsid w:val="00E80285"/>
    <w:rsid w:val="00E81296"/>
    <w:rsid w:val="00E9673A"/>
    <w:rsid w:val="00EB17A9"/>
    <w:rsid w:val="00EB3D34"/>
    <w:rsid w:val="00EB52A3"/>
    <w:rsid w:val="00EB619F"/>
    <w:rsid w:val="00EC26AF"/>
    <w:rsid w:val="00EC26FF"/>
    <w:rsid w:val="00EC4E18"/>
    <w:rsid w:val="00EC53D9"/>
    <w:rsid w:val="00ED11DC"/>
    <w:rsid w:val="00ED2E7D"/>
    <w:rsid w:val="00ED3C84"/>
    <w:rsid w:val="00EE3980"/>
    <w:rsid w:val="00EF176D"/>
    <w:rsid w:val="00EF1C74"/>
    <w:rsid w:val="00EF2702"/>
    <w:rsid w:val="00EF3150"/>
    <w:rsid w:val="00EF4A26"/>
    <w:rsid w:val="00F04B9E"/>
    <w:rsid w:val="00F057A3"/>
    <w:rsid w:val="00F10D8C"/>
    <w:rsid w:val="00F10ED8"/>
    <w:rsid w:val="00F13EBD"/>
    <w:rsid w:val="00F14B14"/>
    <w:rsid w:val="00F22192"/>
    <w:rsid w:val="00F222CF"/>
    <w:rsid w:val="00F25C27"/>
    <w:rsid w:val="00F31C71"/>
    <w:rsid w:val="00F366E8"/>
    <w:rsid w:val="00F4109D"/>
    <w:rsid w:val="00F4444E"/>
    <w:rsid w:val="00F537DC"/>
    <w:rsid w:val="00F53F04"/>
    <w:rsid w:val="00F5639C"/>
    <w:rsid w:val="00F6056B"/>
    <w:rsid w:val="00F6203D"/>
    <w:rsid w:val="00F65D54"/>
    <w:rsid w:val="00F70772"/>
    <w:rsid w:val="00F70784"/>
    <w:rsid w:val="00F74618"/>
    <w:rsid w:val="00F74BF8"/>
    <w:rsid w:val="00F751E0"/>
    <w:rsid w:val="00F75CAF"/>
    <w:rsid w:val="00F7608B"/>
    <w:rsid w:val="00F80C0B"/>
    <w:rsid w:val="00F80D99"/>
    <w:rsid w:val="00F81E0C"/>
    <w:rsid w:val="00F94F8A"/>
    <w:rsid w:val="00F960AA"/>
    <w:rsid w:val="00F9721E"/>
    <w:rsid w:val="00FA1F86"/>
    <w:rsid w:val="00FA2D05"/>
    <w:rsid w:val="00FA3144"/>
    <w:rsid w:val="00FA5540"/>
    <w:rsid w:val="00FA710E"/>
    <w:rsid w:val="00FB071B"/>
    <w:rsid w:val="00FB66C6"/>
    <w:rsid w:val="00FB77B1"/>
    <w:rsid w:val="00FC0652"/>
    <w:rsid w:val="00FC258F"/>
    <w:rsid w:val="00FC290C"/>
    <w:rsid w:val="00FC586E"/>
    <w:rsid w:val="00FE4337"/>
    <w:rsid w:val="00FF04A9"/>
    <w:rsid w:val="00FF0AEC"/>
    <w:rsid w:val="00FF1B05"/>
    <w:rsid w:val="00FF3685"/>
    <w:rsid w:val="00FF75F5"/>
    <w:rsid w:val="00FF7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64734"/>
  <w15:docId w15:val="{6BE3AA92-A153-48A1-929F-480A901F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rPr>
  </w:style>
  <w:style w:type="paragraph" w:customStyle="1" w:styleId="Hinweis">
    <w:name w:val="Hinweis"/>
    <w:basedOn w:val="Heading2"/>
    <w:qFormat/>
    <w:rsid w:val="000A262F"/>
    <w:pPr>
      <w:spacing w:after="0"/>
    </w:pPr>
    <w:rPr>
      <w:sz w:val="16"/>
      <w:u w:val="none"/>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FF04A9"/>
    <w:rPr>
      <w:sz w:val="16"/>
      <w:szCs w:val="16"/>
    </w:rPr>
  </w:style>
  <w:style w:type="paragraph" w:styleId="CommentText">
    <w:name w:val="annotation text"/>
    <w:basedOn w:val="Normal"/>
    <w:link w:val="CommentTextChar"/>
    <w:uiPriority w:val="99"/>
    <w:unhideWhenUsed/>
    <w:rsid w:val="00FF04A9"/>
    <w:pPr>
      <w:spacing w:line="240" w:lineRule="auto"/>
    </w:pPr>
    <w:rPr>
      <w:sz w:val="20"/>
      <w:szCs w:val="20"/>
    </w:rPr>
  </w:style>
  <w:style w:type="character" w:customStyle="1" w:styleId="CommentTextChar">
    <w:name w:val="Comment Text Char"/>
    <w:basedOn w:val="DefaultParagraphFont"/>
    <w:link w:val="CommentText"/>
    <w:uiPriority w:val="99"/>
    <w:rsid w:val="00FF04A9"/>
    <w:rPr>
      <w:color w:val="4A4A49"/>
      <w:sz w:val="20"/>
      <w:szCs w:val="20"/>
    </w:rPr>
  </w:style>
  <w:style w:type="paragraph" w:styleId="CommentSubject">
    <w:name w:val="annotation subject"/>
    <w:basedOn w:val="CommentText"/>
    <w:next w:val="CommentText"/>
    <w:link w:val="CommentSubjectChar"/>
    <w:uiPriority w:val="99"/>
    <w:semiHidden/>
    <w:unhideWhenUsed/>
    <w:rsid w:val="00FF04A9"/>
    <w:rPr>
      <w:b/>
      <w:bCs/>
    </w:rPr>
  </w:style>
  <w:style w:type="character" w:customStyle="1" w:styleId="CommentSubjectChar">
    <w:name w:val="Comment Subject Char"/>
    <w:basedOn w:val="CommentTextChar"/>
    <w:link w:val="CommentSubject"/>
    <w:uiPriority w:val="99"/>
    <w:semiHidden/>
    <w:rsid w:val="00FF04A9"/>
    <w:rPr>
      <w:b/>
      <w:bCs/>
      <w:color w:val="4A4A49"/>
      <w:sz w:val="20"/>
      <w:szCs w:val="20"/>
    </w:rPr>
  </w:style>
  <w:style w:type="paragraph" w:styleId="NormalWeb">
    <w:name w:val="Normal (Web)"/>
    <w:basedOn w:val="Normal"/>
    <w:uiPriority w:val="99"/>
    <w:unhideWhenUsed/>
    <w:rsid w:val="003B1CD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Revision">
    <w:name w:val="Revision"/>
    <w:hidden/>
    <w:uiPriority w:val="99"/>
    <w:semiHidden/>
    <w:rsid w:val="00AF4D6F"/>
    <w:pPr>
      <w:spacing w:after="0" w:line="240" w:lineRule="auto"/>
    </w:pPr>
    <w:rPr>
      <w:color w:val="4A4A49"/>
    </w:rPr>
  </w:style>
  <w:style w:type="character" w:styleId="UnresolvedMention">
    <w:name w:val="Unresolved Mention"/>
    <w:basedOn w:val="DefaultParagraphFont"/>
    <w:uiPriority w:val="99"/>
    <w:semiHidden/>
    <w:unhideWhenUsed/>
    <w:rsid w:val="00E62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93541">
      <w:bodyDiv w:val="1"/>
      <w:marLeft w:val="0"/>
      <w:marRight w:val="0"/>
      <w:marTop w:val="0"/>
      <w:marBottom w:val="0"/>
      <w:divBdr>
        <w:top w:val="none" w:sz="0" w:space="0" w:color="auto"/>
        <w:left w:val="none" w:sz="0" w:space="0" w:color="auto"/>
        <w:bottom w:val="none" w:sz="0" w:space="0" w:color="auto"/>
        <w:right w:val="none" w:sz="0" w:space="0" w:color="auto"/>
      </w:divBdr>
    </w:div>
    <w:div w:id="331418257">
      <w:bodyDiv w:val="1"/>
      <w:marLeft w:val="0"/>
      <w:marRight w:val="0"/>
      <w:marTop w:val="0"/>
      <w:marBottom w:val="0"/>
      <w:divBdr>
        <w:top w:val="none" w:sz="0" w:space="0" w:color="auto"/>
        <w:left w:val="none" w:sz="0" w:space="0" w:color="auto"/>
        <w:bottom w:val="none" w:sz="0" w:space="0" w:color="auto"/>
        <w:right w:val="none" w:sz="0" w:space="0" w:color="auto"/>
      </w:divBdr>
    </w:div>
    <w:div w:id="699740704">
      <w:bodyDiv w:val="1"/>
      <w:marLeft w:val="0"/>
      <w:marRight w:val="0"/>
      <w:marTop w:val="0"/>
      <w:marBottom w:val="0"/>
      <w:divBdr>
        <w:top w:val="none" w:sz="0" w:space="0" w:color="auto"/>
        <w:left w:val="none" w:sz="0" w:space="0" w:color="auto"/>
        <w:bottom w:val="none" w:sz="0" w:space="0" w:color="auto"/>
        <w:right w:val="none" w:sz="0" w:space="0" w:color="auto"/>
      </w:divBdr>
    </w:div>
    <w:div w:id="780877800">
      <w:bodyDiv w:val="1"/>
      <w:marLeft w:val="0"/>
      <w:marRight w:val="0"/>
      <w:marTop w:val="0"/>
      <w:marBottom w:val="0"/>
      <w:divBdr>
        <w:top w:val="none" w:sz="0" w:space="0" w:color="auto"/>
        <w:left w:val="none" w:sz="0" w:space="0" w:color="auto"/>
        <w:bottom w:val="none" w:sz="0" w:space="0" w:color="auto"/>
        <w:right w:val="none" w:sz="0" w:space="0" w:color="auto"/>
      </w:divBdr>
    </w:div>
    <w:div w:id="966159517">
      <w:bodyDiv w:val="1"/>
      <w:marLeft w:val="0"/>
      <w:marRight w:val="0"/>
      <w:marTop w:val="0"/>
      <w:marBottom w:val="0"/>
      <w:divBdr>
        <w:top w:val="none" w:sz="0" w:space="0" w:color="auto"/>
        <w:left w:val="none" w:sz="0" w:space="0" w:color="auto"/>
        <w:bottom w:val="none" w:sz="0" w:space="0" w:color="auto"/>
        <w:right w:val="none" w:sz="0" w:space="0" w:color="auto"/>
      </w:divBdr>
    </w:div>
    <w:div w:id="1219708524">
      <w:bodyDiv w:val="1"/>
      <w:marLeft w:val="0"/>
      <w:marRight w:val="0"/>
      <w:marTop w:val="0"/>
      <w:marBottom w:val="0"/>
      <w:divBdr>
        <w:top w:val="none" w:sz="0" w:space="0" w:color="auto"/>
        <w:left w:val="none" w:sz="0" w:space="0" w:color="auto"/>
        <w:bottom w:val="none" w:sz="0" w:space="0" w:color="auto"/>
        <w:right w:val="none" w:sz="0" w:space="0" w:color="auto"/>
      </w:divBdr>
    </w:div>
    <w:div w:id="16487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mailto:ir@schaeffler.com" TargetMode="External"/><Relationship Id="rId26" Type="http://schemas.openxmlformats.org/officeDocument/2006/relationships/image" Target="media/image8.png"/><Relationship Id="rId39" Type="http://schemas.openxmlformats.org/officeDocument/2006/relationships/image" Target="media/image17.svg"/><Relationship Id="rId21" Type="http://schemas.openxmlformats.org/officeDocument/2006/relationships/image" Target="media/image5.svg"/><Relationship Id="rId34" Type="http://schemas.openxmlformats.org/officeDocument/2006/relationships/hyperlink" Target="http://www.linkedin.com/company/schaeffler"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r@schaeffler.com"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aeffler-anual-report.com" TargetMode="External"/><Relationship Id="rId24" Type="http://schemas.openxmlformats.org/officeDocument/2006/relationships/image" Target="media/image7.svg"/><Relationship Id="rId32" Type="http://schemas.openxmlformats.org/officeDocument/2006/relationships/image" Target="media/image12.png"/><Relationship Id="rId37" Type="http://schemas.openxmlformats.org/officeDocument/2006/relationships/hyperlink" Target="https://www.xing.com/company/schaeffler"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xel.luedeke@schaeffler.com" TargetMode="External"/><Relationship Id="rId23" Type="http://schemas.openxmlformats.org/officeDocument/2006/relationships/image" Target="media/image6.png"/><Relationship Id="rId28" Type="http://schemas.openxmlformats.org/officeDocument/2006/relationships/hyperlink" Target="https://www.instagram.com/schaefflergroup/" TargetMode="External"/><Relationship Id="rId36" Type="http://schemas.openxmlformats.org/officeDocument/2006/relationships/image" Target="media/image15.svg"/><Relationship Id="rId10" Type="http://schemas.openxmlformats.org/officeDocument/2006/relationships/endnotes" Target="endnotes.xml"/><Relationship Id="rId19" Type="http://schemas.openxmlformats.org/officeDocument/2006/relationships/hyperlink" Target="http://www.schaeffler.com/de" TargetMode="External"/><Relationship Id="rId31" Type="http://schemas.openxmlformats.org/officeDocument/2006/relationships/hyperlink" Target="https://www.youtube.com/user/SchaefflerD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ww.facebook.com/SchaefflerDeutschland" TargetMode="External"/><Relationship Id="rId27" Type="http://schemas.openxmlformats.org/officeDocument/2006/relationships/image" Target="media/image9.svg"/><Relationship Id="rId30" Type="http://schemas.openxmlformats.org/officeDocument/2006/relationships/image" Target="media/image11.svg"/><Relationship Id="rId35" Type="http://schemas.openxmlformats.org/officeDocument/2006/relationships/image" Target="media/image14.png"/><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chaeffler.com/apc" TargetMode="External"/><Relationship Id="rId17" Type="http://schemas.openxmlformats.org/officeDocument/2006/relationships/hyperlink" Target="mailto:presse@schaeffler.com" TargetMode="External"/><Relationship Id="rId25" Type="http://schemas.openxmlformats.org/officeDocument/2006/relationships/hyperlink" Target="https://twitter.com/schaefflerde" TargetMode="External"/><Relationship Id="rId33" Type="http://schemas.openxmlformats.org/officeDocument/2006/relationships/image" Target="media/image13.svg"/><Relationship Id="rId38" Type="http://schemas.openxmlformats.org/officeDocument/2006/relationships/image" Target="media/image16.png"/><Relationship Id="rId20" Type="http://schemas.openxmlformats.org/officeDocument/2006/relationships/image" Target="media/image4.png"/><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emf"/></Relationships>
</file>

<file path=word/_rels/header2.xml.rels><?xml version="1.0" encoding="UTF-8" standalone="yes"?>
<Relationships xmlns="http://schemas.openxmlformats.org/package/2006/relationships"><Relationship Id="rId1" Type="http://schemas.openxmlformats.org/officeDocument/2006/relationships/image" Target="media/image18.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53AEBACEDA94B97BA4AB1A7D18644" ma:contentTypeVersion="13" ma:contentTypeDescription="Create a new document." ma:contentTypeScope="" ma:versionID="6d165e9f7feb091a23e18e9bbabbdd42">
  <xsd:schema xmlns:xsd="http://www.w3.org/2001/XMLSchema" xmlns:xs="http://www.w3.org/2001/XMLSchema" xmlns:p="http://schemas.microsoft.com/office/2006/metadata/properties" xmlns:ns3="37f8dc8c-2a04-4ffc-9d7b-45b32fc810bc" xmlns:ns4="fbd7dd4e-cb2a-489a-93f8-32ecc68e6b86" targetNamespace="http://schemas.microsoft.com/office/2006/metadata/properties" ma:root="true" ma:fieldsID="a419abc2497998e7a1575a9749610a17" ns3:_="" ns4:_="">
    <xsd:import namespace="37f8dc8c-2a04-4ffc-9d7b-45b32fc810bc"/>
    <xsd:import namespace="fbd7dd4e-cb2a-489a-93f8-32ecc68e6b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8dc8c-2a04-4ffc-9d7b-45b32fc81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d7dd4e-cb2a-489a-93f8-32ecc68e6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2CC5B-4E7C-4B04-8FEE-2F4D1E8CC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8dc8c-2a04-4ffc-9d7b-45b32fc810bc"/>
    <ds:schemaRef ds:uri="fbd7dd4e-cb2a-489a-93f8-32ecc68e6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FA303-C618-495E-B3F8-B56AC47F19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F18D71-7526-4C73-A79E-826215DF1320}">
  <ds:schemaRefs>
    <ds:schemaRef ds:uri="http://schemas.openxmlformats.org/officeDocument/2006/bibliography"/>
  </ds:schemaRefs>
</ds:datastoreItem>
</file>

<file path=customXml/itemProps4.xml><?xml version="1.0" encoding="utf-8"?>
<ds:datastoreItem xmlns:ds="http://schemas.openxmlformats.org/officeDocument/2006/customXml" ds:itemID="{B9AFE831-8CEF-4E79-AF27-07BD719A51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2398</Words>
  <Characters>13672</Characters>
  <Application>Microsoft Office Word</Application>
  <DocSecurity>0</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Duerschner, Melanie  (ext.)  SZ/HZA-CMB</dc:creator>
  <cp:lastModifiedBy>Roland Davies</cp:lastModifiedBy>
  <cp:revision>2</cp:revision>
  <cp:lastPrinted>2021-03-03T20:16:00Z</cp:lastPrinted>
  <dcterms:created xsi:type="dcterms:W3CDTF">2021-03-04T15:55:00Z</dcterms:created>
  <dcterms:modified xsi:type="dcterms:W3CDTF">2021-03-04T15:55:00Z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0x0101007B753AEBACEDA94B97BA4AB1A7D18644</vt:lpwstr>
  </property>
</Properties>
</file>